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Look w:val="01E0" w:firstRow="1" w:lastRow="1" w:firstColumn="1" w:lastColumn="1" w:noHBand="0" w:noVBand="0"/>
      </w:tblPr>
      <w:tblGrid>
        <w:gridCol w:w="4106"/>
        <w:gridCol w:w="5358"/>
      </w:tblGrid>
      <w:tr w:rsidR="00BD0169" w:rsidRPr="00FC5088" w14:paraId="266A40E1" w14:textId="77777777" w:rsidTr="00A0788E">
        <w:trPr>
          <w:trHeight w:val="1276"/>
        </w:trPr>
        <w:tc>
          <w:tcPr>
            <w:tcW w:w="4106" w:type="dxa"/>
          </w:tcPr>
          <w:p w14:paraId="0A4D3FCB" w14:textId="77777777" w:rsidR="00BD0169" w:rsidRPr="00FC5088" w:rsidRDefault="00E440D0" w:rsidP="00300549">
            <w:pPr>
              <w:widowControl w:val="0"/>
              <w:jc w:val="center"/>
              <w:rPr>
                <w:szCs w:val="20"/>
                <w:lang w:val="es-ES"/>
              </w:rPr>
            </w:pPr>
            <w:r w:rsidRPr="00FC5088">
              <w:rPr>
                <w:szCs w:val="20"/>
                <w:lang w:val="es-ES"/>
              </w:rPr>
              <w:t xml:space="preserve"> </w:t>
            </w:r>
            <w:r w:rsidR="00BD0169" w:rsidRPr="00FC5088">
              <w:rPr>
                <w:szCs w:val="20"/>
                <w:lang w:val="es-ES"/>
              </w:rPr>
              <w:t>QUỐC HỘI KH</w:t>
            </w:r>
            <w:r w:rsidR="00BD0169" w:rsidRPr="00FC5088">
              <w:rPr>
                <w:lang w:val="es-ES"/>
              </w:rPr>
              <w:t>ÓA X</w:t>
            </w:r>
            <w:r w:rsidR="00BD0169" w:rsidRPr="00FC5088">
              <w:rPr>
                <w:lang w:val="sv-SE"/>
              </w:rPr>
              <w:t>V</w:t>
            </w:r>
          </w:p>
          <w:p w14:paraId="5094F27C" w14:textId="1B6475CB" w:rsidR="00BD0169" w:rsidRPr="00FC5088" w:rsidRDefault="00BD0169" w:rsidP="00300549">
            <w:pPr>
              <w:widowControl w:val="0"/>
              <w:jc w:val="center"/>
              <w:rPr>
                <w:b/>
                <w:szCs w:val="20"/>
                <w:lang w:val="es-ES"/>
              </w:rPr>
            </w:pPr>
            <w:r w:rsidRPr="00FC5088">
              <w:rPr>
                <w:b/>
                <w:szCs w:val="20"/>
                <w:lang w:val="es-ES"/>
              </w:rPr>
              <w:t xml:space="preserve">ỦY BAN </w:t>
            </w:r>
            <w:r w:rsidR="00A0788E" w:rsidRPr="00FC5088">
              <w:rPr>
                <w:b/>
                <w:szCs w:val="20"/>
                <w:lang w:val="es-ES"/>
              </w:rPr>
              <w:t>TÀI CHÍNH, NGÂN SÁCH</w:t>
            </w:r>
          </w:p>
          <w:p w14:paraId="7D277189" w14:textId="77777777" w:rsidR="00024CB7" w:rsidRPr="00FC5088" w:rsidRDefault="00376917" w:rsidP="00300549">
            <w:pPr>
              <w:widowControl w:val="0"/>
              <w:jc w:val="center"/>
              <w:rPr>
                <w:sz w:val="26"/>
                <w:szCs w:val="26"/>
              </w:rPr>
            </w:pPr>
            <w:r w:rsidRPr="00FC5088">
              <w:rPr>
                <w:noProof/>
              </w:rPr>
              <w:pict w14:anchorId="12ADF5A4">
                <v:line id="Straight Connector 3" o:spid="_x0000_s1031" style="position:absolute;left:0;text-align:left;z-index:251657728;visibility:visible;mso-wrap-distance-top:-3e-5mm;mso-wrap-distance-bottom:-3e-5mm" from="69.85pt,2.4pt" to="132.55pt,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"/>
              </w:pict>
            </w:r>
          </w:p>
          <w:p w14:paraId="6D3B8396" w14:textId="489FAF5E" w:rsidR="007013D7" w:rsidRPr="00FC5088" w:rsidRDefault="007013D7" w:rsidP="00AE49F4">
            <w:pPr>
              <w:widowControl w:val="0"/>
              <w:jc w:val="center"/>
              <w:rPr>
                <w:sz w:val="26"/>
                <w:szCs w:val="26"/>
                <w:lang w:val="sv-SE"/>
              </w:rPr>
            </w:pPr>
          </w:p>
        </w:tc>
        <w:tc>
          <w:tcPr>
            <w:tcW w:w="5358" w:type="dxa"/>
          </w:tcPr>
          <w:p w14:paraId="1F340436" w14:textId="77777777" w:rsidR="00BD0169" w:rsidRPr="00FC5088" w:rsidRDefault="00BD0169">
            <w:pPr>
              <w:widowControl w:val="0"/>
              <w:jc w:val="center"/>
              <w:rPr>
                <w:b/>
                <w:szCs w:val="20"/>
              </w:rPr>
            </w:pPr>
            <w:r w:rsidRPr="00FC5088">
              <w:rPr>
                <w:b/>
                <w:szCs w:val="20"/>
              </w:rPr>
              <w:t>CỘNG HÒA XÃ HỘI CHỦ NGHĨA VIỆT NAM</w:t>
            </w:r>
          </w:p>
          <w:p w14:paraId="299242B1" w14:textId="77777777" w:rsidR="00BD0169" w:rsidRPr="00FC5088" w:rsidRDefault="00BD0169">
            <w:pPr>
              <w:widowControl w:val="0"/>
              <w:jc w:val="center"/>
              <w:rPr>
                <w:b/>
                <w:sz w:val="26"/>
                <w:szCs w:val="26"/>
              </w:rPr>
            </w:pPr>
            <w:r w:rsidRPr="00FC5088">
              <w:rPr>
                <w:b/>
                <w:sz w:val="26"/>
                <w:szCs w:val="26"/>
              </w:rPr>
              <w:t>Độc lập – Tự do – Hạnh phúc</w:t>
            </w:r>
          </w:p>
          <w:p w14:paraId="6B15472E" w14:textId="77777777" w:rsidR="00BD0169" w:rsidRPr="00FC5088" w:rsidRDefault="00376917">
            <w:pPr>
              <w:widowControl w:val="0"/>
              <w:jc w:val="center"/>
              <w:rPr>
                <w:i/>
              </w:rPr>
            </w:pPr>
            <w:r w:rsidRPr="00FC5088">
              <w:rPr>
                <w:noProof/>
              </w:rPr>
              <w:pict w14:anchorId="36B5486E">
                <v:line id="Straight Connector 2" o:spid="_x0000_s1030" style="position:absolute;left:0;text-align:left;z-index:251656704;visibility:visible;mso-wrap-distance-top:-3e-5mm;mso-wrap-distance-bottom:-3e-5mm" from="46.95pt,2.15pt" to="208.95pt,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"/>
              </w:pict>
            </w:r>
          </w:p>
          <w:p w14:paraId="2A58A979" w14:textId="6A14781A" w:rsidR="00BD0169" w:rsidRPr="00FC5088" w:rsidRDefault="00BD0169">
            <w:pPr>
              <w:widowControl w:val="0"/>
              <w:jc w:val="center"/>
              <w:rPr>
                <w:i/>
                <w:szCs w:val="28"/>
              </w:rPr>
            </w:pPr>
            <w:r w:rsidRPr="00FC5088">
              <w:rPr>
                <w:i/>
                <w:sz w:val="28"/>
                <w:szCs w:val="28"/>
              </w:rPr>
              <w:t xml:space="preserve">           Hà Nội, ngày </w:t>
            </w:r>
            <w:r w:rsidR="007844E0" w:rsidRPr="00FC5088">
              <w:rPr>
                <w:i/>
                <w:sz w:val="28"/>
                <w:szCs w:val="28"/>
              </w:rPr>
              <w:t>10</w:t>
            </w:r>
            <w:r w:rsidRPr="00FC5088">
              <w:rPr>
                <w:i/>
                <w:sz w:val="28"/>
                <w:szCs w:val="28"/>
              </w:rPr>
              <w:t xml:space="preserve"> tháng </w:t>
            </w:r>
            <w:r w:rsidR="006730A3" w:rsidRPr="00FC5088">
              <w:rPr>
                <w:i/>
                <w:sz w:val="28"/>
                <w:szCs w:val="28"/>
              </w:rPr>
              <w:t>10</w:t>
            </w:r>
            <w:r w:rsidRPr="00FC5088">
              <w:rPr>
                <w:i/>
                <w:sz w:val="28"/>
                <w:szCs w:val="28"/>
              </w:rPr>
              <w:t xml:space="preserve"> năm 20</w:t>
            </w:r>
            <w:r w:rsidR="00DC546F" w:rsidRPr="00FC5088">
              <w:rPr>
                <w:i/>
                <w:sz w:val="28"/>
                <w:szCs w:val="28"/>
              </w:rPr>
              <w:t>24</w:t>
            </w:r>
          </w:p>
        </w:tc>
      </w:tr>
    </w:tbl>
    <w:p w14:paraId="52177D8C" w14:textId="77777777" w:rsidR="007844E0" w:rsidRPr="00FC5088" w:rsidRDefault="007844E0" w:rsidP="007844E0">
      <w:pPr>
        <w:pStyle w:val="Heading2"/>
        <w:spacing w:line="340" w:lineRule="exact"/>
        <w:rPr>
          <w:rFonts w:ascii="Times New Roman" w:hAnsi="Times New Roman"/>
          <w:sz w:val="28"/>
        </w:rPr>
      </w:pPr>
    </w:p>
    <w:p w14:paraId="5547BAE0" w14:textId="34E8627F" w:rsidR="00F77CB7" w:rsidRPr="00FC5088" w:rsidRDefault="00F77CB7" w:rsidP="007844E0">
      <w:pPr>
        <w:pStyle w:val="Heading2"/>
        <w:spacing w:line="340" w:lineRule="exact"/>
        <w:rPr>
          <w:rFonts w:ascii="Times New Roman" w:hAnsi="Times New Roman"/>
          <w:sz w:val="28"/>
          <w:lang w:val="en-US"/>
        </w:rPr>
      </w:pPr>
      <w:r w:rsidRPr="00FC5088">
        <w:rPr>
          <w:rFonts w:ascii="Times New Roman" w:hAnsi="Times New Roman"/>
          <w:sz w:val="28"/>
        </w:rPr>
        <w:t>BÁO CÁO</w:t>
      </w:r>
      <w:r w:rsidR="007B7B43" w:rsidRPr="00FC5088">
        <w:rPr>
          <w:rFonts w:ascii="Times New Roman" w:hAnsi="Times New Roman"/>
          <w:sz w:val="28"/>
          <w:lang w:val="en-US"/>
        </w:rPr>
        <w:t xml:space="preserve"> TÓM TẮT</w:t>
      </w:r>
    </w:p>
    <w:p w14:paraId="3BD8F3A0" w14:textId="32347585" w:rsidR="00F77CB7" w:rsidRPr="00FC5088" w:rsidRDefault="000B56FC" w:rsidP="007844E0">
      <w:pPr>
        <w:pStyle w:val="NormalWeb"/>
        <w:spacing w:before="0"/>
        <w:ind w:firstLine="0"/>
        <w:jc w:val="center"/>
        <w:rPr>
          <w:rFonts w:ascii="Times New Roman Bold" w:hAnsi="Times New Roman Bold"/>
          <w:b/>
          <w:spacing w:val="-8"/>
        </w:rPr>
      </w:pPr>
      <w:r w:rsidRPr="00FC5088">
        <w:rPr>
          <w:rFonts w:ascii="Times New Roman Bold" w:hAnsi="Times New Roman Bold"/>
          <w:b/>
          <w:noProof/>
          <w:spacing w:val="-8"/>
        </w:rPr>
        <w:t>t</w:t>
      </w:r>
      <w:r w:rsidR="00F77CB7" w:rsidRPr="00FC5088">
        <w:rPr>
          <w:rFonts w:ascii="Times New Roman Bold" w:hAnsi="Times New Roman Bold"/>
          <w:b/>
          <w:noProof/>
          <w:spacing w:val="-8"/>
        </w:rPr>
        <w:t>hẩm tra</w:t>
      </w:r>
      <w:r w:rsidR="006730A3" w:rsidRPr="00FC5088">
        <w:rPr>
          <w:rFonts w:ascii="Times New Roman Bold" w:hAnsi="Times New Roman Bold"/>
          <w:b/>
          <w:noProof/>
          <w:spacing w:val="-8"/>
        </w:rPr>
        <w:t xml:space="preserve"> sơ bộ</w:t>
      </w:r>
      <w:r w:rsidR="00F77CB7" w:rsidRPr="00FC5088">
        <w:rPr>
          <w:rFonts w:ascii="Times New Roman Bold" w:hAnsi="Times New Roman Bold"/>
          <w:b/>
          <w:spacing w:val="-8"/>
        </w:rPr>
        <w:t xml:space="preserve"> </w:t>
      </w:r>
      <w:bookmarkStart w:id="0" w:name="_Hlk179181498"/>
      <w:r w:rsidR="009E1EFC" w:rsidRPr="00FC5088">
        <w:rPr>
          <w:b/>
        </w:rPr>
        <w:t>Dự án Luật Chứng khoán, Luật Kiểm toán độc lập, Luật Kế toán, Luật Ngân sách nhà nước, Luật Quản lý, sử dụng tài sản công, Luật Quản lý thuế, Luật Dự trữ Quốc gia</w:t>
      </w:r>
      <w:r w:rsidR="00B8342C" w:rsidRPr="00FC5088">
        <w:rPr>
          <w:rFonts w:ascii="Times New Roman Bold" w:hAnsi="Times New Roman Bold"/>
          <w:b/>
          <w:spacing w:val="-8"/>
        </w:rPr>
        <w:t xml:space="preserve"> </w:t>
      </w:r>
    </w:p>
    <w:bookmarkEnd w:id="0"/>
    <w:p w14:paraId="61F9060D" w14:textId="185961C4" w:rsidR="00F109AB" w:rsidRPr="00FC5088" w:rsidRDefault="00376917" w:rsidP="00AE49F4">
      <w:pPr>
        <w:pStyle w:val="NormalWeb"/>
        <w:spacing w:before="0" w:line="320" w:lineRule="exact"/>
        <w:ind w:firstLine="567"/>
        <w:jc w:val="center"/>
        <w:rPr>
          <w:b/>
        </w:rPr>
      </w:pPr>
      <w:r w:rsidRPr="00FC5088">
        <w:rPr>
          <w:rFonts w:ascii="Times New Roman Bold" w:hAnsi="Times New Roman Bold"/>
          <w:b/>
          <w:noProof/>
          <w:spacing w:val="-8"/>
        </w:rPr>
        <w:pict w14:anchorId="502E8752">
          <v:shapetype id="_x0000_t32" coordsize="21600,21600" o:spt="32" o:oned="t" path="m,l21600,21600e" filled="f">
            <v:path arrowok="t" fillok="f" o:connecttype="none"/>
            <o:lock v:ext="edit" shapetype="t"/>
          </v:shapetype>
          <v:shape id="_x0000_s1032" type="#_x0000_t32" style="position:absolute;left:0;text-align:left;margin-left:195.35pt;margin-top:1.95pt;width:101.45pt;height:.55pt;z-index:251658752" o:connectortype="straight"/>
        </w:pict>
      </w:r>
    </w:p>
    <w:p w14:paraId="296A0BB9" w14:textId="77777777" w:rsidR="00F109AB" w:rsidRPr="00FC5088" w:rsidRDefault="00F109AB" w:rsidP="00AE49F4">
      <w:pPr>
        <w:pStyle w:val="NormalWeb"/>
        <w:spacing w:before="0" w:line="320" w:lineRule="exact"/>
        <w:ind w:firstLine="567"/>
        <w:jc w:val="center"/>
      </w:pPr>
      <w:r w:rsidRPr="00FC5088">
        <w:t xml:space="preserve">Kính gửi: </w:t>
      </w:r>
      <w:r w:rsidR="008648BF" w:rsidRPr="00FC5088">
        <w:t>Ủy ban Thường vụ Quốc hội</w:t>
      </w:r>
      <w:r w:rsidRPr="00FC5088">
        <w:t>,</w:t>
      </w:r>
    </w:p>
    <w:p w14:paraId="64507A5E" w14:textId="77777777" w:rsidR="00AD0C93" w:rsidRPr="00FC5088" w:rsidRDefault="00AD0C93" w:rsidP="00AE49F4">
      <w:pPr>
        <w:spacing w:line="320" w:lineRule="exact"/>
        <w:ind w:firstLine="567"/>
        <w:jc w:val="center"/>
        <w:rPr>
          <w:sz w:val="28"/>
          <w:szCs w:val="28"/>
          <w:lang w:val="nl-NL"/>
        </w:rPr>
      </w:pPr>
    </w:p>
    <w:p w14:paraId="39EF6795" w14:textId="0E1925DF" w:rsidR="00C81BAB" w:rsidRPr="00FC5088" w:rsidRDefault="00C81BAB" w:rsidP="007844E0">
      <w:pPr>
        <w:widowControl w:val="0"/>
        <w:spacing w:before="80" w:after="80" w:line="360" w:lineRule="exact"/>
        <w:ind w:firstLine="567"/>
        <w:jc w:val="both"/>
        <w:rPr>
          <w:sz w:val="28"/>
          <w:szCs w:val="28"/>
        </w:rPr>
      </w:pPr>
      <w:r w:rsidRPr="00FC5088">
        <w:rPr>
          <w:sz w:val="28"/>
          <w:szCs w:val="28"/>
        </w:rPr>
        <w:t>Ủy ban Tài chính, Ngân sách (TCNS) đã có Báo cáo thẩm tra sơ bộ số 2501/BC-UBTCNS15 ngày 10/10/2024 về dự án Dự án Luật Chứng khoán, Luật Kiểm toán độc lập, Luật Kế toán, Luật Ngân sách nhà nước, Luật Quản lý, sử dụng tài sản công, Luật Quản lý thuế, Luật Dự trữ Quốc gia gửi Ủy ban Thường vụ Quốc hội</w:t>
      </w:r>
      <w:r w:rsidRPr="00FC5088">
        <w:rPr>
          <w:sz w:val="28"/>
          <w:szCs w:val="28"/>
          <w:lang w:val="nl-NL"/>
        </w:rPr>
        <w:t xml:space="preserve">. </w:t>
      </w:r>
      <w:r w:rsidRPr="00FC5088">
        <w:rPr>
          <w:sz w:val="28"/>
          <w:szCs w:val="28"/>
        </w:rPr>
        <w:t>Sau đây, Thường trực Ủy ban TCNS báo cáo tóm tắt về một số nội dung chính như sau:</w:t>
      </w:r>
    </w:p>
    <w:p w14:paraId="1C0F330E" w14:textId="77777777" w:rsidR="007844E0" w:rsidRPr="00FC5088" w:rsidRDefault="007A2AFA" w:rsidP="007844E0">
      <w:pPr>
        <w:spacing w:before="80" w:after="80" w:line="360" w:lineRule="exact"/>
        <w:ind w:firstLine="567"/>
        <w:jc w:val="both"/>
        <w:rPr>
          <w:b/>
          <w:szCs w:val="28"/>
          <w:lang w:val="nl-NL"/>
        </w:rPr>
      </w:pPr>
      <w:r w:rsidRPr="00FC5088">
        <w:rPr>
          <w:b/>
          <w:szCs w:val="28"/>
          <w:lang w:val="nl-NL"/>
        </w:rPr>
        <w:t>I</w:t>
      </w:r>
      <w:r w:rsidR="00121ADD" w:rsidRPr="00FC5088">
        <w:rPr>
          <w:b/>
          <w:szCs w:val="28"/>
          <w:lang w:val="nl-NL"/>
        </w:rPr>
        <w:t xml:space="preserve">. </w:t>
      </w:r>
      <w:r w:rsidR="007844E0" w:rsidRPr="00FC5088">
        <w:rPr>
          <w:b/>
          <w:szCs w:val="28"/>
          <w:lang w:val="nl-NL"/>
        </w:rPr>
        <w:t xml:space="preserve">VỀ SỰ CẦN THIẾT SỬA ĐỔI, BỔ SUNG CÁC LUẬT </w:t>
      </w:r>
    </w:p>
    <w:p w14:paraId="0969DF5C" w14:textId="1DF6B1C9" w:rsidR="00F56E70" w:rsidRPr="00FC5088" w:rsidRDefault="008D508F" w:rsidP="007844E0">
      <w:pPr>
        <w:spacing w:before="80" w:after="80" w:line="360" w:lineRule="exact"/>
        <w:ind w:firstLine="567"/>
        <w:jc w:val="both"/>
        <w:rPr>
          <w:b/>
          <w:sz w:val="28"/>
          <w:szCs w:val="28"/>
          <w:lang w:val="nl-NL"/>
        </w:rPr>
      </w:pPr>
      <w:r w:rsidRPr="00FC5088">
        <w:rPr>
          <w:bCs/>
          <w:sz w:val="28"/>
          <w:szCs w:val="28"/>
        </w:rPr>
        <w:t>Đa số ý kiến Thường trực U</w:t>
      </w:r>
      <w:r w:rsidR="008A4060" w:rsidRPr="00FC5088">
        <w:rPr>
          <w:bCs/>
          <w:sz w:val="28"/>
          <w:szCs w:val="28"/>
        </w:rPr>
        <w:t xml:space="preserve">ỷ ban </w:t>
      </w:r>
      <w:r w:rsidRPr="00FC5088">
        <w:rPr>
          <w:sz w:val="28"/>
          <w:szCs w:val="28"/>
        </w:rPr>
        <w:t>TCNS</w:t>
      </w:r>
      <w:r w:rsidR="00C81BAB" w:rsidRPr="00FC5088">
        <w:rPr>
          <w:sz w:val="28"/>
          <w:szCs w:val="28"/>
        </w:rPr>
        <w:t xml:space="preserve"> </w:t>
      </w:r>
      <w:r w:rsidR="00C81BAB" w:rsidRPr="00FC5088">
        <w:rPr>
          <w:bCs/>
          <w:sz w:val="28"/>
          <w:szCs w:val="28"/>
        </w:rPr>
        <w:t xml:space="preserve">nhất trí cần nghiên cứu, sửa đổi, bổ sung các Luật thuộc dự án Luật nhằm tập trung tháo gỡ ngay các khó khăn, vướng mắc về thể chế trong lĩnh vực tài chính, ngân sách để tháo gỡ các khó khăn, vướng mắc nhằm cải thiện môi trường đầu tư kinh doanh, thu hút tối đa các nguồn lực nhà nước, ngoài nhà nước để thúc đẩy phát triển kinh tế - xã hội đất nước. Tuy nhiên, </w:t>
      </w:r>
      <w:r w:rsidR="00C81BAB" w:rsidRPr="00FC5088">
        <w:rPr>
          <w:sz w:val="28"/>
          <w:szCs w:val="28"/>
        </w:rPr>
        <w:t xml:space="preserve">đề nghị Chính phủ quan tâm chỉ đạo </w:t>
      </w:r>
      <w:r w:rsidR="00C81BAB" w:rsidRPr="00FC5088">
        <w:rPr>
          <w:bCs/>
          <w:spacing w:val="-4"/>
          <w:sz w:val="28"/>
          <w:szCs w:val="28"/>
        </w:rPr>
        <w:t xml:space="preserve">làm rõ sự cần thiết sửa đổi, bổ sung các điều, khoản nêu tại dự án Luật; </w:t>
      </w:r>
      <w:r w:rsidR="00C81BAB" w:rsidRPr="00FC5088">
        <w:rPr>
          <w:bCs/>
          <w:sz w:val="28"/>
          <w:szCs w:val="28"/>
        </w:rPr>
        <w:t>đánh giá tác động từng cơ chế, chính sách dự kiến sửa đổi, đặc biệt là</w:t>
      </w:r>
      <w:r w:rsidR="00C81BAB" w:rsidRPr="00FC5088">
        <w:rPr>
          <w:bCs/>
          <w:sz w:val="28"/>
          <w:szCs w:val="28"/>
          <w:lang w:val="nl-NL"/>
        </w:rPr>
        <w:t xml:space="preserve"> các cơ chế, chính sách đang thực hiện thí điểm, </w:t>
      </w:r>
      <w:r w:rsidR="00C81BAB" w:rsidRPr="00FC5088">
        <w:rPr>
          <w:bCs/>
          <w:spacing w:val="-4"/>
          <w:sz w:val="28"/>
          <w:szCs w:val="28"/>
        </w:rPr>
        <w:t xml:space="preserve">chỉ đề xuất </w:t>
      </w:r>
      <w:r w:rsidR="00C81BAB" w:rsidRPr="00FC5088">
        <w:rPr>
          <w:bCs/>
          <w:iCs/>
          <w:sz w:val="28"/>
          <w:szCs w:val="28"/>
        </w:rPr>
        <w:t xml:space="preserve">sửa đổi, bổ sung những nội dung thực sự cấp bách, bức xúc và có sự đồng thuận giữa các cơ quan để kịp thời tháo gỡ khó khăn, vướng mắc, cản trở sự phát triển. </w:t>
      </w:r>
      <w:r w:rsidR="00F56E70" w:rsidRPr="00FC5088">
        <w:rPr>
          <w:bCs/>
          <w:iCs/>
          <w:sz w:val="28"/>
          <w:szCs w:val="28"/>
          <w:lang w:val="en-GB"/>
        </w:rPr>
        <w:t>Ủy ban Kinh tế nhất trí sự cần thiết sửa đổi, bổ sung một số điều của Luật Chứng khoán và Luật Kiểm toán độc lập.</w:t>
      </w:r>
    </w:p>
    <w:p w14:paraId="2A8BEDE6" w14:textId="38225ED5" w:rsidR="00B75EC1" w:rsidRPr="00FC5088" w:rsidRDefault="00B75EC1" w:rsidP="007844E0">
      <w:pPr>
        <w:spacing w:before="80" w:after="80" w:line="360" w:lineRule="exact"/>
        <w:ind w:firstLine="567"/>
        <w:jc w:val="both"/>
        <w:rPr>
          <w:b/>
          <w:szCs w:val="28"/>
          <w:lang w:val="nl-NL"/>
        </w:rPr>
      </w:pPr>
      <w:r w:rsidRPr="00FC5088">
        <w:rPr>
          <w:b/>
          <w:szCs w:val="28"/>
          <w:lang w:val="nl-NL"/>
        </w:rPr>
        <w:t xml:space="preserve">II. VỀ NHỮNG </w:t>
      </w:r>
      <w:r w:rsidR="00597067" w:rsidRPr="00FC5088">
        <w:rPr>
          <w:b/>
          <w:szCs w:val="28"/>
          <w:lang w:val="nl-NL"/>
        </w:rPr>
        <w:t>VẤN ĐỀ</w:t>
      </w:r>
      <w:r w:rsidRPr="00FC5088">
        <w:rPr>
          <w:b/>
          <w:szCs w:val="28"/>
          <w:lang w:val="nl-NL"/>
        </w:rPr>
        <w:t xml:space="preserve"> CỤ THỂ</w:t>
      </w:r>
    </w:p>
    <w:p w14:paraId="22D5DD07" w14:textId="60E5C894" w:rsidR="008B7671" w:rsidRPr="00FC5088" w:rsidRDefault="00EE7DF4" w:rsidP="007844E0">
      <w:pPr>
        <w:widowControl w:val="0"/>
        <w:pBdr>
          <w:top w:val="dotted" w:sz="4" w:space="0" w:color="FFFFFF"/>
          <w:left w:val="dotted" w:sz="4" w:space="0" w:color="FFFFFF"/>
          <w:bottom w:val="dotted" w:sz="4" w:space="1" w:color="FFFFFF"/>
          <w:right w:val="dotted" w:sz="4" w:space="0" w:color="FFFFFF"/>
        </w:pBdr>
        <w:shd w:val="clear" w:color="auto" w:fill="FFFFFF"/>
        <w:spacing w:before="80" w:after="80" w:line="360" w:lineRule="exact"/>
        <w:ind w:firstLine="567"/>
        <w:jc w:val="both"/>
        <w:rPr>
          <w:b/>
          <w:spacing w:val="-4"/>
          <w:sz w:val="28"/>
          <w:szCs w:val="28"/>
        </w:rPr>
      </w:pPr>
      <w:r w:rsidRPr="00FC5088">
        <w:rPr>
          <w:b/>
          <w:spacing w:val="-4"/>
          <w:sz w:val="28"/>
          <w:szCs w:val="28"/>
        </w:rPr>
        <w:t xml:space="preserve">1. </w:t>
      </w:r>
      <w:r w:rsidR="008B7671" w:rsidRPr="00FC5088">
        <w:rPr>
          <w:b/>
          <w:spacing w:val="-4"/>
          <w:sz w:val="28"/>
          <w:szCs w:val="28"/>
        </w:rPr>
        <w:t>Về sửa đổi, bổ sung một số điều của Luật Chứng khoán</w:t>
      </w:r>
      <w:r w:rsidR="004E5B65" w:rsidRPr="00FC5088">
        <w:rPr>
          <w:b/>
          <w:spacing w:val="-4"/>
          <w:sz w:val="28"/>
          <w:szCs w:val="28"/>
        </w:rPr>
        <w:t xml:space="preserve"> </w:t>
      </w:r>
    </w:p>
    <w:p w14:paraId="43457FFF" w14:textId="6A4CB4D9" w:rsidR="00CF586D" w:rsidRPr="00FC5088" w:rsidRDefault="00CF586D" w:rsidP="007844E0">
      <w:pPr>
        <w:spacing w:before="80" w:after="80" w:line="360" w:lineRule="exact"/>
        <w:ind w:firstLine="567"/>
        <w:jc w:val="both"/>
        <w:rPr>
          <w:sz w:val="28"/>
          <w:szCs w:val="28"/>
          <w:lang w:val="da-DK"/>
        </w:rPr>
      </w:pPr>
      <w:r w:rsidRPr="00FC5088">
        <w:rPr>
          <w:sz w:val="28"/>
          <w:szCs w:val="28"/>
          <w:lang w:val="da-DK"/>
        </w:rPr>
        <w:t>- Về nhà đầu tư chứng khoán chuyên nghiệp (khoản 1 Điều 1):</w:t>
      </w:r>
      <w:r w:rsidRPr="00FC5088">
        <w:rPr>
          <w:i/>
          <w:iCs/>
          <w:sz w:val="28"/>
          <w:szCs w:val="28"/>
          <w:lang w:val="da-DK"/>
        </w:rPr>
        <w:t xml:space="preserve"> </w:t>
      </w:r>
      <w:r w:rsidRPr="00FC5088">
        <w:rPr>
          <w:sz w:val="28"/>
          <w:szCs w:val="28"/>
          <w:lang w:val="da-DK"/>
        </w:rPr>
        <w:t xml:space="preserve">Đa số ý kiến cho rằng đề xuất </w:t>
      </w:r>
      <w:r w:rsidRPr="00FC5088">
        <w:rPr>
          <w:i/>
          <w:iCs/>
          <w:sz w:val="28"/>
          <w:szCs w:val="28"/>
          <w:lang w:val="da-DK"/>
        </w:rPr>
        <w:t>nh</w:t>
      </w:r>
      <w:r w:rsidRPr="00FC5088">
        <w:rPr>
          <w:rFonts w:eastAsia="Calibri"/>
          <w:i/>
          <w:iCs/>
          <w:sz w:val="28"/>
          <w:szCs w:val="28"/>
        </w:rPr>
        <w:t xml:space="preserve">à đầu tư chứng khoán chuyên nghiệp tham gia mua, giao dịch, chuyển nhượng trái phiếu doanh nghiệp riêng lẻ là tổ chức, ngoại trừ trái phiếu doanh nghiệp riêng lẻ do tổ chức tín dụng phát hành </w:t>
      </w:r>
      <w:r w:rsidRPr="00FC5088">
        <w:rPr>
          <w:sz w:val="28"/>
          <w:szCs w:val="28"/>
          <w:lang w:val="da-DK"/>
        </w:rPr>
        <w:t xml:space="preserve">có thể </w:t>
      </w:r>
      <w:r w:rsidRPr="00FC5088">
        <w:rPr>
          <w:rFonts w:eastAsia="Arial"/>
          <w:sz w:val="28"/>
          <w:szCs w:val="28"/>
          <w:lang w:val="pt-BR"/>
        </w:rPr>
        <w:t xml:space="preserve">giảm thiểu được rủi ro của thị trường trái phiếu doanh nghiệp (TPDN) riêng lẻ. Tuy nhiên, để có căn cứ đánh giá một cách toàn diện, đề nghị bổ sung cung cấp các số liệu như cơ cấu nhà đầu tư TPDN riêng lẻ, đánh giá tác động kỹ lưỡng việc giới hạn nhà đầu tư chỉ là tổ chức trong dài hạn. </w:t>
      </w:r>
    </w:p>
    <w:p w14:paraId="5C4C3CEA" w14:textId="70B95B13" w:rsidR="00CF586D" w:rsidRPr="00FC5088" w:rsidRDefault="00CF586D" w:rsidP="007844E0">
      <w:pPr>
        <w:widowControl w:val="0"/>
        <w:spacing w:before="80" w:after="80" w:line="360" w:lineRule="exact"/>
        <w:ind w:firstLine="567"/>
        <w:jc w:val="both"/>
        <w:rPr>
          <w:sz w:val="28"/>
          <w:szCs w:val="28"/>
          <w:lang w:val="da-DK"/>
        </w:rPr>
      </w:pPr>
      <w:r w:rsidRPr="00FC5088">
        <w:rPr>
          <w:bCs/>
          <w:spacing w:val="-2"/>
          <w:sz w:val="28"/>
          <w:szCs w:val="28"/>
          <w:lang w:val="da-DK"/>
        </w:rPr>
        <w:lastRenderedPageBreak/>
        <w:t xml:space="preserve">- </w:t>
      </w:r>
      <w:r w:rsidRPr="00FC5088">
        <w:rPr>
          <w:bCs/>
          <w:spacing w:val="-2"/>
          <w:sz w:val="28"/>
          <w:szCs w:val="28"/>
          <w:lang w:val="pt-BR"/>
        </w:rPr>
        <w:t xml:space="preserve">Về trách nhiệm của </w:t>
      </w:r>
      <w:r w:rsidRPr="00FC5088">
        <w:rPr>
          <w:bCs/>
          <w:spacing w:val="-2"/>
          <w:sz w:val="28"/>
          <w:szCs w:val="28"/>
          <w:lang w:val="vi-VN"/>
        </w:rPr>
        <w:t>tổ chức, cá nhân liên quan đến hồ sơ, tài liệu báo cáo</w:t>
      </w:r>
      <w:r w:rsidRPr="00FC5088">
        <w:rPr>
          <w:bCs/>
          <w:spacing w:val="-2"/>
          <w:sz w:val="28"/>
          <w:szCs w:val="28"/>
        </w:rPr>
        <w:t xml:space="preserve"> (khoản 2 Điều 1)</w:t>
      </w:r>
      <w:r w:rsidRPr="00FC5088">
        <w:rPr>
          <w:bCs/>
          <w:spacing w:val="-2"/>
          <w:sz w:val="28"/>
          <w:szCs w:val="28"/>
          <w:lang w:val="vi-VN"/>
        </w:rPr>
        <w:t>:</w:t>
      </w:r>
      <w:r w:rsidRPr="00FC5088">
        <w:rPr>
          <w:spacing w:val="-2"/>
          <w:sz w:val="28"/>
          <w:szCs w:val="28"/>
          <w:lang w:val="pt-BR"/>
        </w:rPr>
        <w:t xml:space="preserve"> Đa số ý kiến cho rằng quy định như đề xuất là khó đánh giá và có thể chồng chéo với các quy định hiện hành. </w:t>
      </w:r>
    </w:p>
    <w:p w14:paraId="73C9D0B2" w14:textId="1C95D0EC" w:rsidR="00CF586D" w:rsidRPr="00FC5088" w:rsidRDefault="00CF586D" w:rsidP="007844E0">
      <w:pPr>
        <w:spacing w:before="80" w:after="80" w:line="360" w:lineRule="exact"/>
        <w:ind w:firstLine="567"/>
        <w:jc w:val="both"/>
        <w:rPr>
          <w:bCs/>
          <w:iCs/>
          <w:spacing w:val="-2"/>
          <w:sz w:val="28"/>
          <w:szCs w:val="28"/>
          <w:lang w:val="pt-BR"/>
        </w:rPr>
      </w:pPr>
      <w:r w:rsidRPr="00FC5088">
        <w:rPr>
          <w:bCs/>
          <w:spacing w:val="-2"/>
          <w:sz w:val="28"/>
          <w:szCs w:val="28"/>
          <w:lang w:val="da-DK"/>
        </w:rPr>
        <w:t>- Về hành vi bị nghiêm cấm trong hoạt động chứng khoán và thị trường chứng khoán (khoản 3 Điều 1)</w:t>
      </w:r>
      <w:r w:rsidRPr="00FC5088">
        <w:rPr>
          <w:bCs/>
          <w:i/>
          <w:iCs/>
          <w:spacing w:val="-2"/>
          <w:sz w:val="28"/>
          <w:szCs w:val="28"/>
          <w:lang w:val="da-DK"/>
        </w:rPr>
        <w:t xml:space="preserve">: </w:t>
      </w:r>
      <w:r w:rsidRPr="00FC5088">
        <w:rPr>
          <w:bCs/>
          <w:spacing w:val="-2"/>
          <w:sz w:val="28"/>
          <w:szCs w:val="28"/>
          <w:lang w:val="da-DK"/>
        </w:rPr>
        <w:t>Đa số ý kiến nhất trí đề xuất của Chính phủ về bổ sung 02 hành vi bị nghiêm cấm. Đ</w:t>
      </w:r>
      <w:r w:rsidRPr="00FC5088">
        <w:rPr>
          <w:bCs/>
          <w:iCs/>
          <w:spacing w:val="-2"/>
          <w:sz w:val="28"/>
          <w:szCs w:val="28"/>
          <w:lang w:val="pt-BR"/>
        </w:rPr>
        <w:t>ối với hành vi thao túng TTCK cụ thể, đề nghị tiếp tục rà soát bảo đảm tính khả thi, hiệu quả. Một số ý kiến cho rằng cần có cơ quan có thẩm quyền xác định dấu hiệu nào là hành vi thao túng TTCK.</w:t>
      </w:r>
    </w:p>
    <w:p w14:paraId="205827E4" w14:textId="14CF6CCE" w:rsidR="00CF586D" w:rsidRPr="00FC5088" w:rsidRDefault="00CF586D" w:rsidP="007844E0">
      <w:pPr>
        <w:spacing w:before="80" w:after="80" w:line="360" w:lineRule="exact"/>
        <w:ind w:firstLine="709"/>
        <w:jc w:val="both"/>
        <w:textAlignment w:val="baseline"/>
        <w:rPr>
          <w:bCs/>
          <w:iCs/>
          <w:sz w:val="28"/>
          <w:szCs w:val="28"/>
          <w:lang w:val="pt-BR"/>
        </w:rPr>
      </w:pPr>
      <w:r w:rsidRPr="00FC5088">
        <w:rPr>
          <w:bCs/>
          <w:iCs/>
          <w:sz w:val="28"/>
          <w:szCs w:val="28"/>
          <w:lang w:val="pt-BR"/>
        </w:rPr>
        <w:t>- Về điều kiện chào bán chứng khoán ra công chúng (khoản 4 Điều 1 của dự thảo Luật): Đa số ý kiến nhất trí với đề xuất của Chính phủ về sửa đổi điều kiện chào bán chứng khoán ra công chúng. Tuy nhiên, để quy định có tính hiệu lực, hiệu quả, đề nghị Chính phủ cần đẩy mạnh việc áp dụng xếp hạng tín nhiệm tổ chức phát hành, bảo đảm tính công khai, minh bạch, nâng cao chất lượng TPDN phát hành.</w:t>
      </w:r>
    </w:p>
    <w:p w14:paraId="70FF069B" w14:textId="02C2BB9D" w:rsidR="00CF586D" w:rsidRPr="00FC5088" w:rsidRDefault="00CF586D" w:rsidP="007844E0">
      <w:pPr>
        <w:spacing w:before="80" w:after="80" w:line="360" w:lineRule="exact"/>
        <w:ind w:firstLine="709"/>
        <w:jc w:val="both"/>
        <w:textAlignment w:val="baseline"/>
        <w:rPr>
          <w:sz w:val="28"/>
          <w:szCs w:val="28"/>
        </w:rPr>
      </w:pPr>
      <w:r w:rsidRPr="00FC5088">
        <w:rPr>
          <w:sz w:val="28"/>
          <w:szCs w:val="28"/>
          <w:lang w:val="pt-BR"/>
        </w:rPr>
        <w:t>- Về chào bán chứng khoán riêng lẻ của công ty đại chúng, công ty chứng khoán, công ty quản lý quỹ đầu tư đầu tư chứng khoán (khoản 7 Điều 1):</w:t>
      </w:r>
      <w:r w:rsidRPr="00FC5088">
        <w:rPr>
          <w:bCs/>
          <w:i/>
          <w:iCs/>
          <w:sz w:val="28"/>
          <w:szCs w:val="28"/>
          <w:lang w:val="pt-BR"/>
        </w:rPr>
        <w:t xml:space="preserve"> </w:t>
      </w:r>
      <w:r w:rsidRPr="00FC5088">
        <w:rPr>
          <w:sz w:val="28"/>
          <w:szCs w:val="28"/>
          <w:lang w:val="pt-BR"/>
        </w:rPr>
        <w:t xml:space="preserve">Đề nghị thuyết minh rõ hơn quy định về </w:t>
      </w:r>
      <w:bookmarkStart w:id="1" w:name="_Hlk178411496"/>
      <w:r w:rsidRPr="00FC5088">
        <w:rPr>
          <w:i/>
          <w:sz w:val="28"/>
          <w:szCs w:val="28"/>
          <w:lang w:val="vi-VN"/>
        </w:rPr>
        <w:t>tăng thời gian hạn chế chuyển nhượng từ 01 năm đối với nhà đầu tư chứng khoán chuyên nghiệp</w:t>
      </w:r>
      <w:r w:rsidRPr="00FC5088">
        <w:rPr>
          <w:i/>
          <w:sz w:val="28"/>
          <w:szCs w:val="28"/>
          <w:lang w:val="pt-BR"/>
        </w:rPr>
        <w:t xml:space="preserve"> lên thành 03 năm</w:t>
      </w:r>
      <w:r w:rsidRPr="00FC5088">
        <w:rPr>
          <w:iCs/>
          <w:sz w:val="28"/>
          <w:szCs w:val="28"/>
          <w:lang w:val="pt-BR"/>
        </w:rPr>
        <w:t xml:space="preserve"> </w:t>
      </w:r>
      <w:r w:rsidRPr="00FC5088">
        <w:rPr>
          <w:i/>
          <w:sz w:val="28"/>
          <w:szCs w:val="28"/>
          <w:lang w:val="pt-BR"/>
        </w:rPr>
        <w:t>như nhà đầu tư chiến lược</w:t>
      </w:r>
      <w:bookmarkEnd w:id="1"/>
      <w:r w:rsidRPr="00FC5088">
        <w:rPr>
          <w:i/>
          <w:sz w:val="28"/>
          <w:szCs w:val="28"/>
          <w:lang w:val="pt-BR"/>
        </w:rPr>
        <w:t xml:space="preserve"> </w:t>
      </w:r>
      <w:r w:rsidRPr="00FC5088">
        <w:rPr>
          <w:iCs/>
          <w:sz w:val="28"/>
          <w:szCs w:val="28"/>
          <w:lang w:val="pt-BR"/>
        </w:rPr>
        <w:t xml:space="preserve">vì </w:t>
      </w:r>
      <w:bookmarkStart w:id="2" w:name="_Hlk178411523"/>
      <w:r w:rsidRPr="00FC5088">
        <w:rPr>
          <w:iCs/>
          <w:sz w:val="28"/>
          <w:szCs w:val="28"/>
          <w:lang w:val="pt-BR"/>
        </w:rPr>
        <w:t>tính chất, mục đích nắm giữ, giao dịch chứng khoán của các nhà đầu tư này là khác nhau</w:t>
      </w:r>
      <w:bookmarkEnd w:id="2"/>
      <w:r w:rsidRPr="00FC5088">
        <w:rPr>
          <w:iCs/>
          <w:sz w:val="28"/>
          <w:szCs w:val="28"/>
          <w:lang w:val="pt-BR"/>
        </w:rPr>
        <w:t xml:space="preserve">. Nhiều ý kiến đề nghị cân nhắc quy định này vì có thể dẫn đến tâm lý e ngại cho nhà đầu tư, giảm mức độ hấp dẫn, tác động đến thanh khoản của thị trường. </w:t>
      </w:r>
      <w:r w:rsidRPr="00FC5088">
        <w:rPr>
          <w:sz w:val="28"/>
          <w:szCs w:val="28"/>
        </w:rPr>
        <w:t>Bên cạnh đó, đề nghị Chính phủ tiếp tục rà soát, đánh giá hoàn thiện một cách đồng bộ các quy định liên quan đến TPDN riêng lẻ tại cả Luật Chứng khoán và Luật Doanh nghiệp.</w:t>
      </w:r>
    </w:p>
    <w:p w14:paraId="02AD4BAB" w14:textId="1DB006D0" w:rsidR="00CF586D" w:rsidRPr="00FC5088" w:rsidRDefault="00CF586D" w:rsidP="007844E0">
      <w:pPr>
        <w:spacing w:before="80" w:after="80" w:line="360" w:lineRule="exact"/>
        <w:ind w:firstLine="567"/>
        <w:jc w:val="both"/>
        <w:rPr>
          <w:iCs/>
          <w:sz w:val="28"/>
          <w:szCs w:val="28"/>
          <w:lang w:val="pt-BR"/>
        </w:rPr>
      </w:pPr>
      <w:r w:rsidRPr="00FC5088">
        <w:rPr>
          <w:sz w:val="28"/>
          <w:szCs w:val="28"/>
        </w:rPr>
        <w:t xml:space="preserve">- </w:t>
      </w:r>
      <w:r w:rsidRPr="00FC5088">
        <w:rPr>
          <w:spacing w:val="-4"/>
          <w:sz w:val="28"/>
          <w:szCs w:val="28"/>
          <w:lang w:val="pt-BR"/>
        </w:rPr>
        <w:t>Về quyền, nghĩa vụ của Tổng công ty lưu ký và bù trừ chứng khoán Việt Nam; bù trừ và thanh toán giao dịch chứng khoán (khoản 14, khoản 16 Điều 1):</w:t>
      </w:r>
      <w:r w:rsidRPr="00FC5088">
        <w:rPr>
          <w:bCs/>
          <w:i/>
          <w:spacing w:val="-4"/>
          <w:sz w:val="28"/>
          <w:szCs w:val="28"/>
          <w:lang w:val="pt-BR"/>
        </w:rPr>
        <w:t xml:space="preserve"> </w:t>
      </w:r>
      <w:r w:rsidRPr="00FC5088">
        <w:rPr>
          <w:bCs/>
          <w:iCs/>
          <w:spacing w:val="-4"/>
          <w:sz w:val="28"/>
          <w:szCs w:val="28"/>
          <w:lang w:val="pt-BR"/>
        </w:rPr>
        <w:t>T</w:t>
      </w:r>
      <w:r w:rsidRPr="00FC5088">
        <w:rPr>
          <w:iCs/>
          <w:sz w:val="28"/>
          <w:szCs w:val="28"/>
          <w:lang w:val="pt-BR"/>
        </w:rPr>
        <w:t xml:space="preserve">rường hợp </w:t>
      </w:r>
      <w:r w:rsidR="00517E7D" w:rsidRPr="00FC5088">
        <w:rPr>
          <w:spacing w:val="-4"/>
          <w:sz w:val="28"/>
          <w:szCs w:val="28"/>
          <w:lang w:val="pt-BR"/>
        </w:rPr>
        <w:t>Tổng công ty lưu ký và bù trừ chứng khoán</w:t>
      </w:r>
      <w:r w:rsidRPr="00FC5088">
        <w:rPr>
          <w:iCs/>
          <w:sz w:val="28"/>
          <w:szCs w:val="28"/>
          <w:lang w:val="pt-BR"/>
        </w:rPr>
        <w:t xml:space="preserve"> thành lập công ty con thực hiện chức năng đối tác bù trừ trung tâm với vai trò </w:t>
      </w:r>
      <w:r w:rsidRPr="00FC5088">
        <w:rPr>
          <w:sz w:val="28"/>
          <w:szCs w:val="28"/>
        </w:rPr>
        <w:t>bảo đảm thanh toán cho các bên tham gia giao dịch của thị trường</w:t>
      </w:r>
      <w:r w:rsidRPr="00FC5088">
        <w:rPr>
          <w:iCs/>
          <w:sz w:val="28"/>
          <w:szCs w:val="28"/>
          <w:lang w:val="pt-BR"/>
        </w:rPr>
        <w:t xml:space="preserve"> là rất quan trọng đối với TTCK, có ảnh hưởng lớn đến nhà đầu tư. Do vậy, cần phải hết sức thận trọng, đánh giá tác động kỹ lưỡng.</w:t>
      </w:r>
    </w:p>
    <w:p w14:paraId="49AF1904" w14:textId="11E7D6E0" w:rsidR="008B7671" w:rsidRPr="00FC5088" w:rsidRDefault="00CF586D" w:rsidP="007844E0">
      <w:pPr>
        <w:spacing w:before="80" w:after="80" w:line="360" w:lineRule="exact"/>
        <w:ind w:firstLine="540"/>
        <w:jc w:val="both"/>
        <w:rPr>
          <w:bCs/>
          <w:sz w:val="28"/>
          <w:szCs w:val="28"/>
          <w:lang w:val="pt-BR"/>
        </w:rPr>
      </w:pPr>
      <w:r w:rsidRPr="00FC5088">
        <w:rPr>
          <w:iCs/>
          <w:sz w:val="28"/>
          <w:szCs w:val="28"/>
          <w:lang w:val="pt-BR"/>
        </w:rPr>
        <w:t>- Về thành viên của Tổng công ty lưu ký và bù trừ chứng khoán Việt Nam (khoản 15 Điều 1)</w:t>
      </w:r>
      <w:r w:rsidRPr="00FC5088">
        <w:rPr>
          <w:i/>
          <w:sz w:val="28"/>
          <w:szCs w:val="28"/>
          <w:lang w:val="pt-BR"/>
        </w:rPr>
        <w:t xml:space="preserve">: </w:t>
      </w:r>
      <w:r w:rsidRPr="00FC5088">
        <w:rPr>
          <w:bCs/>
          <w:sz w:val="28"/>
          <w:szCs w:val="28"/>
          <w:lang w:val="pt-BR"/>
        </w:rPr>
        <w:t xml:space="preserve">Một số ý kiến nhất trí với quy định này nhằm </w:t>
      </w:r>
      <w:r w:rsidRPr="00FC5088">
        <w:rPr>
          <w:iCs/>
          <w:sz w:val="28"/>
          <w:szCs w:val="28"/>
          <w:lang w:val="pt-BR"/>
        </w:rPr>
        <w:t>tháo gỡ một trong các vướng mắc chính để nâng hạng TTCK Việt Nam từ cận biên lên mới nổi</w:t>
      </w:r>
      <w:r w:rsidRPr="00FC5088">
        <w:rPr>
          <w:bCs/>
          <w:sz w:val="28"/>
          <w:szCs w:val="28"/>
          <w:lang w:val="pt-BR"/>
        </w:rPr>
        <w:t xml:space="preserve">. </w:t>
      </w:r>
      <w:r w:rsidRPr="00FC5088">
        <w:rPr>
          <w:bCs/>
          <w:spacing w:val="-2"/>
          <w:sz w:val="28"/>
          <w:szCs w:val="28"/>
          <w:lang w:val="pt-BR"/>
        </w:rPr>
        <w:t>Một số ý kiến khác cho rằng khi tham gia là thành viên bù trừ trên TTCK cơ sở, các ngân hàng thương mại, chi nhánh ngân hàng nước ngoài là ngân hàng lưu ký vẫn có thể phát sinh rủi ro, có thể gây ảnh hưởng đến an toàn hoạt động ngân hàng. Đ</w:t>
      </w:r>
      <w:r w:rsidRPr="00FC5088">
        <w:rPr>
          <w:bCs/>
          <w:sz w:val="28"/>
          <w:szCs w:val="28"/>
          <w:lang w:val="pt-BR"/>
        </w:rPr>
        <w:t>ề nghị tiếp tục nghiên cứu kỹ lưỡng, có phương án phù hợp, bảo đảm thống nhất với quy định của Luật Các tổ chức tín dụng, vừa đạt được mục tiêu nâng hạng TTCK Việt Nam, vừa bảo đảm an toàn hoạt động cho các thành viên tham gia bù trừ, bảo vệ nhà đầu tư và thị trường.</w:t>
      </w:r>
    </w:p>
    <w:p w14:paraId="062B034E" w14:textId="77777777" w:rsidR="00030D49" w:rsidRPr="00FC5088" w:rsidRDefault="00030D49" w:rsidP="007844E0">
      <w:pPr>
        <w:spacing w:before="80" w:after="80" w:line="360" w:lineRule="exact"/>
        <w:ind w:firstLine="540"/>
        <w:jc w:val="both"/>
        <w:rPr>
          <w:bCs/>
          <w:sz w:val="28"/>
          <w:szCs w:val="28"/>
          <w:lang w:val="pt-BR"/>
        </w:rPr>
      </w:pPr>
    </w:p>
    <w:p w14:paraId="2D4EDA9D" w14:textId="3A7CAFD2" w:rsidR="008B7671" w:rsidRPr="00FC5088" w:rsidRDefault="008B7671" w:rsidP="007844E0">
      <w:pPr>
        <w:widowControl w:val="0"/>
        <w:pBdr>
          <w:top w:val="dotted" w:sz="4" w:space="0" w:color="FFFFFF"/>
          <w:left w:val="dotted" w:sz="4" w:space="0" w:color="FFFFFF"/>
          <w:bottom w:val="dotted" w:sz="4" w:space="1" w:color="FFFFFF"/>
          <w:right w:val="dotted" w:sz="4" w:space="0" w:color="FFFFFF"/>
        </w:pBdr>
        <w:shd w:val="clear" w:color="auto" w:fill="FFFFFF"/>
        <w:spacing w:before="80" w:after="80" w:line="360" w:lineRule="exact"/>
        <w:ind w:firstLine="567"/>
        <w:jc w:val="both"/>
        <w:rPr>
          <w:b/>
          <w:spacing w:val="-4"/>
          <w:sz w:val="28"/>
          <w:szCs w:val="28"/>
        </w:rPr>
      </w:pPr>
      <w:r w:rsidRPr="00FC5088">
        <w:rPr>
          <w:b/>
          <w:spacing w:val="-4"/>
          <w:sz w:val="28"/>
          <w:szCs w:val="28"/>
        </w:rPr>
        <w:lastRenderedPageBreak/>
        <w:t>2. Về sửa đổi, bổ sung một số điều của Luật Kế toán</w:t>
      </w:r>
      <w:r w:rsidR="00AF4F17" w:rsidRPr="00FC5088">
        <w:rPr>
          <w:b/>
          <w:spacing w:val="-4"/>
          <w:sz w:val="28"/>
          <w:szCs w:val="28"/>
        </w:rPr>
        <w:t xml:space="preserve"> </w:t>
      </w:r>
    </w:p>
    <w:p w14:paraId="0A5F2F4D" w14:textId="5F75CB11" w:rsidR="002C7FBD" w:rsidRPr="00FC5088" w:rsidRDefault="002C7FBD" w:rsidP="007844E0">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360" w:lineRule="exact"/>
        <w:ind w:firstLine="720"/>
        <w:jc w:val="both"/>
        <w:rPr>
          <w:rFonts w:eastAsia="Calibri"/>
          <w:sz w:val="28"/>
          <w:szCs w:val="28"/>
        </w:rPr>
      </w:pPr>
      <w:r w:rsidRPr="00FC5088">
        <w:rPr>
          <w:i/>
          <w:iCs/>
          <w:sz w:val="28"/>
          <w:szCs w:val="28"/>
        </w:rPr>
        <w:t>- Về s</w:t>
      </w:r>
      <w:r w:rsidRPr="00FC5088">
        <w:rPr>
          <w:i/>
          <w:iCs/>
          <w:sz w:val="28"/>
          <w:szCs w:val="28"/>
          <w:lang w:val="de-DE"/>
        </w:rPr>
        <w:t>ửa đổi, bổ sung tên và khoản 4 Điều 19 Luật Kế toán về</w:t>
      </w:r>
      <w:r w:rsidRPr="00FC5088">
        <w:rPr>
          <w:rFonts w:eastAsia="Calibri"/>
          <w:i/>
          <w:iCs/>
          <w:sz w:val="28"/>
          <w:szCs w:val="28"/>
        </w:rPr>
        <w:t xml:space="preserve"> chữ ký điện tử hoặc các hình thức xác nhận khác bằng phương tiện điện tử</w:t>
      </w:r>
      <w:r w:rsidRPr="00FC5088">
        <w:rPr>
          <w:b/>
          <w:bCs/>
          <w:i/>
          <w:iCs/>
          <w:sz w:val="28"/>
          <w:szCs w:val="28"/>
          <w:lang w:val="de-DE"/>
        </w:rPr>
        <w:t xml:space="preserve"> </w:t>
      </w:r>
      <w:r w:rsidRPr="00FC5088">
        <w:rPr>
          <w:i/>
          <w:iCs/>
          <w:sz w:val="28"/>
          <w:szCs w:val="28"/>
        </w:rPr>
        <w:t>(khoản 5 Điều 2</w:t>
      </w:r>
      <w:r w:rsidR="00572340" w:rsidRPr="00FC5088">
        <w:rPr>
          <w:i/>
          <w:iCs/>
          <w:sz w:val="28"/>
          <w:szCs w:val="28"/>
        </w:rPr>
        <w:t>)</w:t>
      </w:r>
      <w:r w:rsidRPr="00FC5088">
        <w:rPr>
          <w:i/>
          <w:iCs/>
          <w:sz w:val="28"/>
          <w:szCs w:val="28"/>
        </w:rPr>
        <w:t xml:space="preserve">: </w:t>
      </w:r>
      <w:r w:rsidRPr="00FC5088">
        <w:rPr>
          <w:bCs/>
          <w:sz w:val="28"/>
          <w:szCs w:val="28"/>
        </w:rPr>
        <w:t xml:space="preserve">Đa số ý kiến Thường trực Ủy ban </w:t>
      </w:r>
      <w:r w:rsidRPr="00FC5088">
        <w:rPr>
          <w:sz w:val="28"/>
          <w:szCs w:val="28"/>
        </w:rPr>
        <w:t xml:space="preserve">TCNS nhất trí đề xuất của Chính phủ, đồng thời </w:t>
      </w:r>
      <w:r w:rsidRPr="00FC5088">
        <w:rPr>
          <w:rFonts w:eastAsia="Calibri"/>
          <w:sz w:val="28"/>
          <w:szCs w:val="28"/>
        </w:rPr>
        <w:t xml:space="preserve">để bảo đảm đồng bộ, thống nhất với quy định tại khoản 4 Điều 22 Luật Giao dịch điện tử, đề nghị chỉnh lý nội dung khoản 4 Điều này như sau: </w:t>
      </w:r>
      <w:r w:rsidRPr="00FC5088">
        <w:rPr>
          <w:rFonts w:eastAsia="Calibri"/>
          <w:i/>
          <w:iCs/>
          <w:sz w:val="28"/>
          <w:szCs w:val="28"/>
        </w:rPr>
        <w:t xml:space="preserve">“4. Chứng từ điện tử phải có chữ ký điện tử hoặc các hình thức xác nhận khác bằng phương tiện điện tử theo quy định của pháp luật </w:t>
      </w:r>
      <w:r w:rsidRPr="00FC5088">
        <w:rPr>
          <w:rFonts w:eastAsia="Calibri"/>
          <w:b/>
          <w:bCs/>
          <w:i/>
          <w:iCs/>
          <w:sz w:val="28"/>
          <w:szCs w:val="28"/>
        </w:rPr>
        <w:t>giao dịch điện tử</w:t>
      </w:r>
      <w:r w:rsidRPr="00FC5088">
        <w:rPr>
          <w:rFonts w:eastAsia="Calibri"/>
          <w:i/>
          <w:iCs/>
          <w:sz w:val="28"/>
          <w:szCs w:val="28"/>
        </w:rPr>
        <w:t>.”</w:t>
      </w:r>
      <w:r w:rsidRPr="00FC5088">
        <w:rPr>
          <w:rFonts w:eastAsia="Calibri"/>
          <w:sz w:val="28"/>
          <w:szCs w:val="28"/>
        </w:rPr>
        <w:t xml:space="preserve">. </w:t>
      </w:r>
    </w:p>
    <w:p w14:paraId="5336BB7D" w14:textId="7C119491" w:rsidR="002C7FBD" w:rsidRPr="00FC5088" w:rsidRDefault="002C7FBD" w:rsidP="007844E0">
      <w:pPr>
        <w:widowControl w:val="0"/>
        <w:pBdr>
          <w:top w:val="dotted" w:sz="4" w:space="0" w:color="FFFFFF"/>
          <w:left w:val="dotted" w:sz="4" w:space="0" w:color="FFFFFF"/>
          <w:bottom w:val="dotted" w:sz="4" w:space="14" w:color="FFFFFF"/>
          <w:right w:val="dotted" w:sz="4" w:space="0" w:color="FFFFFF"/>
        </w:pBdr>
        <w:shd w:val="clear" w:color="auto" w:fill="FFFFFF"/>
        <w:snapToGrid w:val="0"/>
        <w:spacing w:before="80" w:after="80" w:line="360" w:lineRule="exact"/>
        <w:ind w:firstLine="720"/>
        <w:contextualSpacing/>
        <w:jc w:val="both"/>
        <w:rPr>
          <w:spacing w:val="-2"/>
          <w:sz w:val="28"/>
          <w:szCs w:val="28"/>
          <w:shd w:val="clear" w:color="auto" w:fill="FFFFFF"/>
        </w:rPr>
      </w:pPr>
      <w:r w:rsidRPr="00FC5088">
        <w:rPr>
          <w:i/>
          <w:iCs/>
          <w:sz w:val="28"/>
          <w:szCs w:val="28"/>
          <w:lang w:val="de-DE"/>
        </w:rPr>
        <w:t xml:space="preserve">- Về việc bổ sung khoản 3a vào sau khoản 3 Điều 71 Luật Kế toán: </w:t>
      </w:r>
      <w:r w:rsidRPr="00FC5088">
        <w:rPr>
          <w:spacing w:val="-2"/>
          <w:sz w:val="28"/>
          <w:szCs w:val="28"/>
          <w:lang w:val="de-DE"/>
        </w:rPr>
        <w:t xml:space="preserve">Đa số ý kiến cho rằng, đề xuất bổ sung trách nhiệm của </w:t>
      </w:r>
      <w:bookmarkStart w:id="3" w:name="_Hlk179289200"/>
      <w:r w:rsidRPr="00FC5088">
        <w:rPr>
          <w:spacing w:val="-2"/>
          <w:sz w:val="28"/>
          <w:szCs w:val="28"/>
          <w:lang w:val="de-DE"/>
        </w:rPr>
        <w:t xml:space="preserve">Ngân hàng Nhà nước Việt Nam trong việc </w:t>
      </w:r>
      <w:r w:rsidRPr="00FC5088">
        <w:rPr>
          <w:i/>
          <w:iCs/>
          <w:spacing w:val="-2"/>
          <w:sz w:val="28"/>
          <w:szCs w:val="28"/>
          <w:lang w:val="de-DE"/>
        </w:rPr>
        <w:t>"</w:t>
      </w:r>
      <w:r w:rsidRPr="00FC5088">
        <w:rPr>
          <w:i/>
          <w:iCs/>
          <w:spacing w:val="-2"/>
          <w:sz w:val="28"/>
          <w:szCs w:val="28"/>
          <w:shd w:val="clear" w:color="auto" w:fill="FFFFFF"/>
          <w:lang w:val="vi-VN"/>
        </w:rPr>
        <w:t xml:space="preserve">ban hành Chế độ kế toán hoặc các văn bản quy phạm pháp luật về kế toán áp dụng cho các tổ chức tín dụng, chi nhánh ngân hàng nước ngoài thuộc phạm vi quản lý, đảm bảo tuân thủ Chuẩn mực về kế toán quy định trong Luật </w:t>
      </w:r>
      <w:r w:rsidRPr="00FC5088">
        <w:rPr>
          <w:i/>
          <w:iCs/>
          <w:spacing w:val="-2"/>
          <w:sz w:val="28"/>
          <w:szCs w:val="28"/>
          <w:shd w:val="clear" w:color="auto" w:fill="FFFFFF"/>
        </w:rPr>
        <w:t>này”</w:t>
      </w:r>
      <w:r w:rsidRPr="00FC5088">
        <w:rPr>
          <w:spacing w:val="-2"/>
          <w:sz w:val="28"/>
          <w:szCs w:val="28"/>
          <w:lang w:val="de-DE"/>
        </w:rPr>
        <w:t xml:space="preserve"> tại khoản này </w:t>
      </w:r>
      <w:r w:rsidR="00030D49" w:rsidRPr="00FC5088">
        <w:rPr>
          <w:spacing w:val="-2"/>
          <w:sz w:val="28"/>
          <w:szCs w:val="28"/>
          <w:lang w:val="de-DE"/>
        </w:rPr>
        <w:t>là chưa</w:t>
      </w:r>
      <w:r w:rsidRPr="00FC5088">
        <w:rPr>
          <w:spacing w:val="-2"/>
          <w:sz w:val="28"/>
          <w:szCs w:val="28"/>
          <w:lang w:val="de-DE"/>
        </w:rPr>
        <w:t xml:space="preserve"> phù hợp với quy định tại khoản 3 Điều 7 và khoản 1 Điều 71 Luật Kế toán thuộc về trách nhiệm của Bộ Tài chính.</w:t>
      </w:r>
      <w:r w:rsidRPr="00FC5088">
        <w:rPr>
          <w:spacing w:val="-2"/>
          <w:sz w:val="28"/>
          <w:szCs w:val="28"/>
          <w:shd w:val="clear" w:color="auto" w:fill="FFFFFF"/>
        </w:rPr>
        <w:t xml:space="preserve"> Đề nghị trước mắt chưa bổ sung quy định này, Bộ Tài chính chủ trì, phối hợp với </w:t>
      </w:r>
      <w:r w:rsidRPr="00FC5088">
        <w:rPr>
          <w:spacing w:val="-2"/>
          <w:sz w:val="28"/>
          <w:szCs w:val="28"/>
          <w:lang w:val="de-DE"/>
        </w:rPr>
        <w:t xml:space="preserve">Ngân hàng Nhà nước Việt Nam </w:t>
      </w:r>
      <w:r w:rsidRPr="00FC5088">
        <w:rPr>
          <w:i/>
          <w:iCs/>
          <w:spacing w:val="-2"/>
          <w:sz w:val="28"/>
          <w:szCs w:val="28"/>
          <w:shd w:val="clear" w:color="auto" w:fill="FFFFFF"/>
          <w:lang w:val="vi-VN"/>
        </w:rPr>
        <w:t xml:space="preserve">ban hành Chế độ kế toán hoặc các văn bản quy phạm pháp luật về kế toán áp dụng cho các tổ chức tín dụng, chi nhánh ngân hàng nước ngoài </w:t>
      </w:r>
      <w:r w:rsidRPr="00FC5088">
        <w:rPr>
          <w:spacing w:val="-2"/>
          <w:sz w:val="28"/>
          <w:szCs w:val="28"/>
          <w:shd w:val="clear" w:color="auto" w:fill="FFFFFF"/>
        </w:rPr>
        <w:t>(nếu cần thiết phải ban hành mới) để</w:t>
      </w:r>
      <w:r w:rsidRPr="00FC5088">
        <w:rPr>
          <w:spacing w:val="-2"/>
          <w:sz w:val="28"/>
          <w:szCs w:val="28"/>
          <w:shd w:val="clear" w:color="auto" w:fill="FFFFFF"/>
          <w:lang w:val="vi-VN"/>
        </w:rPr>
        <w:t xml:space="preserve"> đảm bảo tuân thủ Chuẩn mực kế toán quy định trong Luật </w:t>
      </w:r>
      <w:r w:rsidRPr="00FC5088">
        <w:rPr>
          <w:spacing w:val="-2"/>
          <w:sz w:val="28"/>
          <w:szCs w:val="28"/>
          <w:shd w:val="clear" w:color="auto" w:fill="FFFFFF"/>
        </w:rPr>
        <w:t xml:space="preserve">này. </w:t>
      </w:r>
      <w:bookmarkEnd w:id="3"/>
    </w:p>
    <w:p w14:paraId="1A5C34A1" w14:textId="77777777" w:rsidR="002C7FBD" w:rsidRPr="00FC5088" w:rsidRDefault="008B7671" w:rsidP="007844E0">
      <w:pPr>
        <w:widowControl w:val="0"/>
        <w:pBdr>
          <w:top w:val="dotted" w:sz="4" w:space="0" w:color="FFFFFF"/>
          <w:left w:val="dotted" w:sz="4" w:space="0" w:color="FFFFFF"/>
          <w:bottom w:val="dotted" w:sz="4" w:space="1" w:color="FFFFFF"/>
          <w:right w:val="dotted" w:sz="4" w:space="0" w:color="FFFFFF"/>
        </w:pBdr>
        <w:shd w:val="clear" w:color="auto" w:fill="FFFFFF"/>
        <w:spacing w:before="80" w:after="80" w:line="360" w:lineRule="exact"/>
        <w:ind w:firstLine="720"/>
        <w:jc w:val="both"/>
        <w:rPr>
          <w:b/>
          <w:spacing w:val="-4"/>
          <w:sz w:val="28"/>
          <w:szCs w:val="28"/>
        </w:rPr>
      </w:pPr>
      <w:r w:rsidRPr="00FC5088">
        <w:rPr>
          <w:b/>
          <w:spacing w:val="-4"/>
          <w:sz w:val="28"/>
          <w:szCs w:val="28"/>
        </w:rPr>
        <w:t>3. Về sửa đổi, bổ sung một số điều của Luật Kiểm toán độc lập</w:t>
      </w:r>
      <w:r w:rsidR="00AF4F17" w:rsidRPr="00FC5088">
        <w:rPr>
          <w:b/>
          <w:spacing w:val="-4"/>
          <w:sz w:val="28"/>
          <w:szCs w:val="28"/>
        </w:rPr>
        <w:t xml:space="preserve"> </w:t>
      </w:r>
    </w:p>
    <w:p w14:paraId="75D99578" w14:textId="69FFEE0C" w:rsidR="004E5B65" w:rsidRPr="00FC5088" w:rsidRDefault="004E5B65" w:rsidP="007844E0">
      <w:pPr>
        <w:widowControl w:val="0"/>
        <w:pBdr>
          <w:top w:val="dotted" w:sz="4" w:space="0" w:color="FFFFFF"/>
          <w:left w:val="dotted" w:sz="4" w:space="0" w:color="FFFFFF"/>
          <w:bottom w:val="dotted" w:sz="4" w:space="1" w:color="FFFFFF"/>
          <w:right w:val="dotted" w:sz="4" w:space="0" w:color="FFFFFF"/>
        </w:pBdr>
        <w:shd w:val="clear" w:color="auto" w:fill="FFFFFF"/>
        <w:spacing w:before="80" w:after="80" w:line="360" w:lineRule="exact"/>
        <w:ind w:firstLine="720"/>
        <w:jc w:val="both"/>
        <w:rPr>
          <w:iCs/>
          <w:sz w:val="28"/>
          <w:szCs w:val="28"/>
          <w:lang w:val="pt-BR"/>
        </w:rPr>
      </w:pPr>
      <w:r w:rsidRPr="00FC5088">
        <w:rPr>
          <w:i/>
          <w:sz w:val="28"/>
          <w:szCs w:val="28"/>
          <w:lang w:val="pt-BR"/>
        </w:rPr>
        <w:t>- Về quản lý nhà nước về hoạt động kiểm toán độc lập (khoản 1 Điều 3):</w:t>
      </w:r>
      <w:r w:rsidRPr="00FC5088">
        <w:rPr>
          <w:i/>
          <w:iCs/>
          <w:sz w:val="28"/>
          <w:szCs w:val="28"/>
          <w:lang w:val="pt-BR"/>
        </w:rPr>
        <w:t xml:space="preserve"> </w:t>
      </w:r>
      <w:r w:rsidRPr="00FC5088">
        <w:rPr>
          <w:sz w:val="28"/>
          <w:szCs w:val="28"/>
          <w:lang w:val="pt-BR"/>
        </w:rPr>
        <w:t xml:space="preserve">Đa số ý kiến nhất trí đề xuất của Chính phủ về thẩm quyền </w:t>
      </w:r>
      <w:r w:rsidRPr="00FC5088">
        <w:rPr>
          <w:iCs/>
          <w:sz w:val="28"/>
          <w:szCs w:val="28"/>
          <w:lang w:val="pt-BR"/>
        </w:rPr>
        <w:t>đình chỉ hành nghề kiểm toán, thu hồi Giấy chứng nhận đăng ký hành nghề kiểm toán</w:t>
      </w:r>
      <w:r w:rsidRPr="00FC5088">
        <w:rPr>
          <w:sz w:val="28"/>
          <w:szCs w:val="28"/>
          <w:lang w:val="pt-BR"/>
        </w:rPr>
        <w:t xml:space="preserve">. </w:t>
      </w:r>
      <w:r w:rsidRPr="00FC5088">
        <w:rPr>
          <w:iCs/>
          <w:sz w:val="28"/>
          <w:szCs w:val="28"/>
          <w:lang w:val="pt-BR"/>
        </w:rPr>
        <w:t xml:space="preserve">Tuy nhiên, dự thảo Luật chưa quy định rõ các trường hợp đình chỉ hành nghề kiểm toán cũng như thu hồi Giấy chứng nhận đăng ký hành nghề kiểm toán làm cơ sở cho Bộ Tài chính thực hiện chức năng quản lý nhà nước về nội dung này. </w:t>
      </w:r>
    </w:p>
    <w:p w14:paraId="37480771" w14:textId="38508630" w:rsidR="004E5B65" w:rsidRPr="00FC5088" w:rsidRDefault="004E5B65" w:rsidP="007844E0">
      <w:pPr>
        <w:overflowPunct w:val="0"/>
        <w:autoSpaceDE w:val="0"/>
        <w:autoSpaceDN w:val="0"/>
        <w:adjustRightInd w:val="0"/>
        <w:spacing w:before="80" w:after="80" w:line="360" w:lineRule="exact"/>
        <w:ind w:firstLine="720"/>
        <w:jc w:val="both"/>
        <w:rPr>
          <w:iCs/>
          <w:sz w:val="28"/>
          <w:szCs w:val="28"/>
          <w:lang w:val="pt-BR"/>
        </w:rPr>
      </w:pPr>
      <w:r w:rsidRPr="00FC5088">
        <w:rPr>
          <w:i/>
          <w:iCs/>
          <w:sz w:val="28"/>
          <w:szCs w:val="28"/>
          <w:lang w:val="pt-BR"/>
        </w:rPr>
        <w:t>- Về những người không được đăng ký, hành nghề kiểm toán (khoản 2 Điều 3):</w:t>
      </w:r>
      <w:r w:rsidRPr="00FC5088">
        <w:rPr>
          <w:i/>
          <w:sz w:val="28"/>
          <w:szCs w:val="28"/>
          <w:lang w:val="pt-BR"/>
        </w:rPr>
        <w:t xml:space="preserve"> </w:t>
      </w:r>
      <w:r w:rsidRPr="00FC5088">
        <w:rPr>
          <w:iCs/>
          <w:sz w:val="28"/>
          <w:szCs w:val="28"/>
          <w:lang w:val="pt-BR"/>
        </w:rPr>
        <w:t xml:space="preserve">Đề nghị rà soát để phân định rõ 2 trường hợp, gồm: (i) Không được đăng ký hành nghề kiểm toán; (2) Đã đăng ký hành nghề nhưng không được tiếp tục hành nghề do vi phạm. </w:t>
      </w:r>
    </w:p>
    <w:p w14:paraId="615254CA" w14:textId="0ED14B6E" w:rsidR="004E5B65" w:rsidRPr="00FC5088" w:rsidRDefault="004E5B65" w:rsidP="007844E0">
      <w:pPr>
        <w:overflowPunct w:val="0"/>
        <w:autoSpaceDE w:val="0"/>
        <w:autoSpaceDN w:val="0"/>
        <w:adjustRightInd w:val="0"/>
        <w:spacing w:before="80" w:after="80" w:line="360" w:lineRule="exact"/>
        <w:ind w:firstLine="720"/>
        <w:jc w:val="both"/>
        <w:rPr>
          <w:iCs/>
          <w:spacing w:val="-2"/>
          <w:sz w:val="28"/>
          <w:szCs w:val="28"/>
          <w:lang w:val="pt-BR"/>
        </w:rPr>
      </w:pPr>
      <w:r w:rsidRPr="00FC5088">
        <w:rPr>
          <w:i/>
          <w:iCs/>
          <w:spacing w:val="-2"/>
          <w:sz w:val="28"/>
          <w:szCs w:val="28"/>
          <w:lang w:val="pt-BR"/>
        </w:rPr>
        <w:t>- Về đơn vị kiểm toán (khoản 4 Điều 3):</w:t>
      </w:r>
      <w:r w:rsidRPr="00FC5088">
        <w:rPr>
          <w:i/>
          <w:spacing w:val="-2"/>
          <w:sz w:val="28"/>
          <w:szCs w:val="28"/>
          <w:lang w:val="pt-BR"/>
        </w:rPr>
        <w:t xml:space="preserve"> </w:t>
      </w:r>
      <w:r w:rsidRPr="00FC5088">
        <w:rPr>
          <w:iCs/>
          <w:spacing w:val="-2"/>
          <w:sz w:val="28"/>
          <w:szCs w:val="28"/>
          <w:lang w:val="pt-BR"/>
        </w:rPr>
        <w:t xml:space="preserve">Việc mở rộng đối tượng cần được kiểm toán bắt buộc theo hướng bổ sung các </w:t>
      </w:r>
      <w:r w:rsidRPr="00FC5088">
        <w:rPr>
          <w:i/>
          <w:spacing w:val="-2"/>
          <w:sz w:val="28"/>
          <w:szCs w:val="28"/>
          <w:lang w:val="pt-BR"/>
        </w:rPr>
        <w:t>doanh nghiệp, tổ chức khác có quy mô lớn</w:t>
      </w:r>
      <w:r w:rsidRPr="00FC5088">
        <w:rPr>
          <w:iCs/>
          <w:spacing w:val="-2"/>
          <w:sz w:val="28"/>
          <w:szCs w:val="28"/>
          <w:lang w:val="pt-BR"/>
        </w:rPr>
        <w:t xml:space="preserve"> là cần thiết nhằm đáp ứng sự phát triển của nền kinh tế, nâng cao tính công khai, minh bạch, hiệu quả công tác quản lý nhà nước. Tuy nhiên, đề nghị cần đánh giá kỹ lưỡng tác động và xác định các tiêu chí phù hợp, bảo đảm việc xác định doanh nghiệp, tổ chức khác có quy mô lớn gắn với điều chỉnh đối tượng kiểm toán bắt buộc cần tương xứng với nguồn lực kiểm toán độc lập, bảo đảm tính hiệu quả, khả thi. </w:t>
      </w:r>
    </w:p>
    <w:p w14:paraId="20894E13" w14:textId="35A7D893" w:rsidR="008B7671" w:rsidRPr="00FC5088" w:rsidRDefault="004E5B65" w:rsidP="007844E0">
      <w:pPr>
        <w:overflowPunct w:val="0"/>
        <w:autoSpaceDE w:val="0"/>
        <w:autoSpaceDN w:val="0"/>
        <w:adjustRightInd w:val="0"/>
        <w:spacing w:before="80" w:after="80" w:line="360" w:lineRule="exact"/>
        <w:ind w:firstLine="720"/>
        <w:jc w:val="both"/>
        <w:rPr>
          <w:iCs/>
          <w:spacing w:val="-4"/>
          <w:sz w:val="28"/>
          <w:szCs w:val="28"/>
          <w:lang w:val="pt-BR"/>
        </w:rPr>
      </w:pPr>
      <w:r w:rsidRPr="00FC5088">
        <w:rPr>
          <w:i/>
          <w:iCs/>
          <w:spacing w:val="-4"/>
          <w:sz w:val="28"/>
          <w:szCs w:val="28"/>
        </w:rPr>
        <w:lastRenderedPageBreak/>
        <w:t xml:space="preserve">- </w:t>
      </w:r>
      <w:r w:rsidRPr="00FC5088">
        <w:rPr>
          <w:i/>
          <w:iCs/>
          <w:spacing w:val="-4"/>
          <w:sz w:val="28"/>
          <w:szCs w:val="28"/>
          <w:lang w:val="pt-BR"/>
        </w:rPr>
        <w:t>Về xử phạt vi phạm pháp luật về kiểm toán độc lập (khoản 7 Điều 3)</w:t>
      </w:r>
      <w:r w:rsidRPr="00FC5088">
        <w:rPr>
          <w:i/>
          <w:spacing w:val="-4"/>
          <w:sz w:val="28"/>
          <w:szCs w:val="28"/>
          <w:lang w:val="pt-BR"/>
        </w:rPr>
        <w:t xml:space="preserve">: </w:t>
      </w:r>
      <w:r w:rsidRPr="00FC5088">
        <w:rPr>
          <w:iCs/>
          <w:spacing w:val="-4"/>
          <w:sz w:val="28"/>
          <w:szCs w:val="28"/>
          <w:lang w:val="pt-BR"/>
        </w:rPr>
        <w:t>Đa số ý kiến nhất trí việc tăng mức xử phạt vi phạm pháp luật về kiểm toán độc lập và tăng thời hiệu xử phạt nhằm tăng tính răn đe đối với doanh nghiệp kiểm toán, kiểm toán viên. Tuy nhiên, đề nghị tiếp tục đánh giá tác động kỹ lưỡng, bổ sung thông lệ quốc tế, làm rõ hơn cơ sở đề xuất việc tăng mức xử phạt lên gấp 30 lần so với Luật hiện hành. Trong quá trình hoàn thiện dự thảo Nghị định hướng dẫn, đề nghị lưu ý có mức xử phạt hợp lý với các hành vi, vừa có tính kế thừa các quy định hiện hành, vừa tăng mức độ răn đe với các hành vi thực sự nghiêm trọng nhưng chưa đến mức xử lý hình sự.</w:t>
      </w:r>
    </w:p>
    <w:p w14:paraId="21673F96" w14:textId="7E5AF6F4" w:rsidR="00BA02E6" w:rsidRPr="00FC5088" w:rsidRDefault="008B7671" w:rsidP="007844E0">
      <w:pPr>
        <w:widowControl w:val="0"/>
        <w:pBdr>
          <w:top w:val="dotted" w:sz="4" w:space="0" w:color="FFFFFF"/>
          <w:left w:val="dotted" w:sz="4" w:space="0" w:color="FFFFFF"/>
          <w:bottom w:val="dotted" w:sz="4" w:space="1" w:color="FFFFFF"/>
          <w:right w:val="dotted" w:sz="4" w:space="0" w:color="FFFFFF"/>
        </w:pBdr>
        <w:shd w:val="clear" w:color="auto" w:fill="FFFFFF"/>
        <w:spacing w:before="80" w:after="80" w:line="360" w:lineRule="exact"/>
        <w:ind w:firstLine="567"/>
        <w:jc w:val="both"/>
        <w:rPr>
          <w:b/>
          <w:spacing w:val="-4"/>
          <w:sz w:val="28"/>
          <w:szCs w:val="28"/>
        </w:rPr>
      </w:pPr>
      <w:r w:rsidRPr="00FC5088">
        <w:rPr>
          <w:b/>
          <w:spacing w:val="-4"/>
          <w:sz w:val="28"/>
          <w:szCs w:val="28"/>
        </w:rPr>
        <w:t>4. Về sửa đổi, bổ sung một số điều của Luật NSNN</w:t>
      </w:r>
    </w:p>
    <w:p w14:paraId="60F6DAB7" w14:textId="77777777" w:rsidR="007844E0" w:rsidRPr="00FC5088" w:rsidRDefault="007C5E03" w:rsidP="007844E0">
      <w:pPr>
        <w:widowControl w:val="0"/>
        <w:pBdr>
          <w:top w:val="dotted" w:sz="4" w:space="0" w:color="FFFFFF"/>
          <w:left w:val="dotted" w:sz="4" w:space="0" w:color="FFFFFF"/>
          <w:bottom w:val="dotted" w:sz="4" w:space="0" w:color="FFFFFF"/>
          <w:right w:val="dotted" w:sz="4" w:space="0" w:color="FFFFFF"/>
        </w:pBdr>
        <w:shd w:val="clear" w:color="auto" w:fill="FFFFFF"/>
        <w:spacing w:before="80" w:after="80" w:line="360" w:lineRule="exact"/>
        <w:ind w:firstLine="720"/>
        <w:jc w:val="both"/>
        <w:rPr>
          <w:sz w:val="28"/>
          <w:szCs w:val="28"/>
        </w:rPr>
      </w:pPr>
      <w:r w:rsidRPr="00FC5088">
        <w:rPr>
          <w:i/>
          <w:sz w:val="28"/>
          <w:szCs w:val="28"/>
        </w:rPr>
        <w:t>- Dự thảo Luật bổ sung thêm khoản 10a sau khoản 10 Điều 8 Luật NSNN theo hướng quy định các nhiệm vụ được bố trí từ nguồn chi đầu tư và chi thường xuyên:</w:t>
      </w:r>
      <w:r w:rsidRPr="00FC5088">
        <w:rPr>
          <w:sz w:val="28"/>
          <w:szCs w:val="28"/>
        </w:rPr>
        <w:t xml:space="preserve"> Thường trực Ủy ban TCNS cho rằng việc bổ sung các nhiệm vụ chi từ nguồn chi thường xuyên là cần thiết để tháo gỡ khó khăn, vướng mắc hiện nay. Tuy nhiên, phạm vi chính sách đề xuất được mở rộng rất nhiều so với quy định hiện hành và mở rộng nhiều đối tượng so với dự thảo Nghị định của Chính phủ dự kiến ban hành. </w:t>
      </w:r>
      <w:r w:rsidRPr="00FC5088">
        <w:rPr>
          <w:bCs/>
          <w:sz w:val="28"/>
          <w:szCs w:val="28"/>
        </w:rPr>
        <w:t>Đồng thời,</w:t>
      </w:r>
      <w:r w:rsidRPr="00FC5088">
        <w:rPr>
          <w:sz w:val="28"/>
          <w:szCs w:val="28"/>
        </w:rPr>
        <w:t xml:space="preserve"> Dự thảo luật không quy định rõ về điều kiện được sử dụng kinh phí chi thường xuyên cho nhiệm vụ mang tính chất đầu tư; mức độ giới hạn về tổng mức vốn của nhiệm vụ chi trong các trường hợp được sử dụng vốn chi thường xuyên. </w:t>
      </w:r>
    </w:p>
    <w:p w14:paraId="6376C854" w14:textId="2E507DCD" w:rsidR="007C5E03" w:rsidRPr="00FC5088" w:rsidRDefault="007C5E03" w:rsidP="007844E0">
      <w:pPr>
        <w:widowControl w:val="0"/>
        <w:pBdr>
          <w:top w:val="dotted" w:sz="4" w:space="0" w:color="FFFFFF"/>
          <w:left w:val="dotted" w:sz="4" w:space="0" w:color="FFFFFF"/>
          <w:bottom w:val="dotted" w:sz="4" w:space="0" w:color="FFFFFF"/>
          <w:right w:val="dotted" w:sz="4" w:space="0" w:color="FFFFFF"/>
        </w:pBdr>
        <w:shd w:val="clear" w:color="auto" w:fill="FFFFFF"/>
        <w:spacing w:before="80" w:after="80" w:line="360" w:lineRule="exact"/>
        <w:ind w:firstLine="720"/>
        <w:jc w:val="both"/>
        <w:rPr>
          <w:sz w:val="28"/>
          <w:szCs w:val="28"/>
        </w:rPr>
      </w:pPr>
      <w:r w:rsidRPr="00FC5088">
        <w:rPr>
          <w:sz w:val="28"/>
          <w:szCs w:val="28"/>
        </w:rPr>
        <w:t xml:space="preserve">Do đó, đa số ý kiến đề nghị </w:t>
      </w:r>
      <w:bookmarkStart w:id="4" w:name="_Hlk179289701"/>
      <w:r w:rsidRPr="00FC5088">
        <w:rPr>
          <w:sz w:val="28"/>
          <w:szCs w:val="28"/>
        </w:rPr>
        <w:t xml:space="preserve">sửa lại quy định này thành: </w:t>
      </w:r>
      <w:r w:rsidRPr="00FC5088">
        <w:rPr>
          <w:i/>
          <w:iCs/>
          <w:sz w:val="28"/>
          <w:szCs w:val="28"/>
        </w:rPr>
        <w:t>“Chi phí lập, thẩm định, quyết định hoặc phê duyệt, công bố và điều chỉnh quy hoạch; mua sắm, sửa chữa, nâng cấp tài sản, trang thiết bị; chi thuê hàng hóa, dịch vụ; sửa chữa, cải tạo, nâng cấp, mở rộng dự án đã đầu tư xây dựng được sử dụng nguồn chi thường xuyên hoặc chi đầu tư phát triển. Chính phủ quy định việc sử dụng nguồn chi thường xuyên hoặc chi đầu tư phát triển theo tính chất và quy mô đối với các nhiệm vụ chi cụ thể”.</w:t>
      </w:r>
      <w:r w:rsidRPr="00FC5088">
        <w:rPr>
          <w:iCs/>
          <w:sz w:val="28"/>
          <w:szCs w:val="28"/>
        </w:rPr>
        <w:t xml:space="preserve"> </w:t>
      </w:r>
      <w:bookmarkEnd w:id="4"/>
      <w:r w:rsidRPr="00FC5088">
        <w:rPr>
          <w:iCs/>
          <w:sz w:val="28"/>
          <w:szCs w:val="28"/>
        </w:rPr>
        <w:t>Theo đó, xác định rõ trong Luật các nhiệm vụ chi tùy vào tính chất, quy mô được sử dụng nguồn chi thường xuyên hoặc chi đầu tư theo quy định của Chính phủ; đồng thời bỏ quy định: “</w:t>
      </w:r>
      <w:r w:rsidRPr="00FC5088">
        <w:rPr>
          <w:i/>
          <w:iCs/>
          <w:sz w:val="28"/>
          <w:szCs w:val="28"/>
        </w:rPr>
        <w:t>xây dựng mới”</w:t>
      </w:r>
      <w:r w:rsidRPr="00FC5088">
        <w:rPr>
          <w:iCs/>
          <w:sz w:val="28"/>
          <w:szCs w:val="28"/>
        </w:rPr>
        <w:t xml:space="preserve"> trong các dự án đã đầu tư xây dựng.</w:t>
      </w:r>
    </w:p>
    <w:p w14:paraId="1E92BD0D" w14:textId="691A27BD" w:rsidR="007C5E03" w:rsidRPr="00FC5088" w:rsidRDefault="00A14620" w:rsidP="007844E0">
      <w:pPr>
        <w:widowControl w:val="0"/>
        <w:pBdr>
          <w:top w:val="dotted" w:sz="4" w:space="0" w:color="FFFFFF"/>
          <w:left w:val="dotted" w:sz="4" w:space="0" w:color="FFFFFF"/>
          <w:bottom w:val="dotted" w:sz="4" w:space="0" w:color="FFFFFF"/>
          <w:right w:val="dotted" w:sz="4" w:space="0" w:color="FFFFFF"/>
        </w:pBdr>
        <w:shd w:val="clear" w:color="auto" w:fill="FFFFFF"/>
        <w:spacing w:before="80" w:after="80" w:line="360" w:lineRule="exact"/>
        <w:ind w:firstLine="720"/>
        <w:jc w:val="both"/>
        <w:rPr>
          <w:bCs/>
          <w:i/>
          <w:spacing w:val="-2"/>
          <w:sz w:val="28"/>
          <w:szCs w:val="28"/>
        </w:rPr>
      </w:pPr>
      <w:r w:rsidRPr="00FC5088">
        <w:rPr>
          <w:i/>
          <w:sz w:val="28"/>
          <w:szCs w:val="28"/>
        </w:rPr>
        <w:t>- Về</w:t>
      </w:r>
      <w:r w:rsidRPr="00FC5088">
        <w:rPr>
          <w:bCs/>
          <w:i/>
          <w:spacing w:val="-2"/>
          <w:sz w:val="28"/>
          <w:szCs w:val="28"/>
        </w:rPr>
        <w:t xml:space="preserve"> Sửa đổi khoản 1 Điều 36 Luật NSNN về nhiệm vụ chi của ngân sách trung ương:</w:t>
      </w:r>
    </w:p>
    <w:p w14:paraId="076E6772" w14:textId="5F3BC0CB" w:rsidR="00A14620" w:rsidRPr="00FC5088" w:rsidRDefault="00A14620" w:rsidP="00A14620">
      <w:pPr>
        <w:widowControl w:val="0"/>
        <w:pBdr>
          <w:top w:val="dotted" w:sz="4" w:space="0" w:color="FFFFFF"/>
          <w:left w:val="dotted" w:sz="4" w:space="0" w:color="FFFFFF"/>
          <w:bottom w:val="dotted" w:sz="4" w:space="0" w:color="FFFFFF"/>
          <w:right w:val="dotted" w:sz="4" w:space="0" w:color="FFFFFF"/>
        </w:pBdr>
        <w:shd w:val="clear" w:color="auto" w:fill="FFFFFF"/>
        <w:spacing w:before="80" w:after="80" w:line="360" w:lineRule="exact"/>
        <w:ind w:firstLine="720"/>
        <w:jc w:val="both"/>
        <w:rPr>
          <w:iCs/>
          <w:sz w:val="28"/>
          <w:szCs w:val="28"/>
        </w:rPr>
      </w:pPr>
      <w:r w:rsidRPr="00FC5088">
        <w:rPr>
          <w:iCs/>
          <w:sz w:val="28"/>
          <w:szCs w:val="28"/>
        </w:rPr>
        <w:t xml:space="preserve">- Tại điểm a khoản 5, dự thảo bổ sung thêm đối tượng chi là các chương trình, nhiệm vụ và phạm vi chi đầu tư của NSTW là doanh nghiệp nhà nước khi được Nhà nước giao thực hiện nhiệm vụ dự án đầu tư công và địa phương theo các ngành, lĩnh vực được quy định tại Luật Đầu tư công. </w:t>
      </w:r>
    </w:p>
    <w:p w14:paraId="318334A4" w14:textId="3A44F3B9" w:rsidR="00A14620" w:rsidRPr="00FC5088" w:rsidRDefault="00A14620" w:rsidP="00A14620">
      <w:pPr>
        <w:widowControl w:val="0"/>
        <w:pBdr>
          <w:top w:val="dotted" w:sz="4" w:space="0" w:color="FFFFFF"/>
          <w:left w:val="dotted" w:sz="4" w:space="0" w:color="FFFFFF"/>
          <w:bottom w:val="dotted" w:sz="4" w:space="0" w:color="FFFFFF"/>
          <w:right w:val="dotted" w:sz="4" w:space="0" w:color="FFFFFF"/>
        </w:pBdr>
        <w:shd w:val="clear" w:color="auto" w:fill="FFFFFF"/>
        <w:spacing w:before="80" w:after="80" w:line="360" w:lineRule="exact"/>
        <w:ind w:firstLine="720"/>
        <w:jc w:val="both"/>
        <w:rPr>
          <w:iCs/>
          <w:sz w:val="28"/>
          <w:szCs w:val="28"/>
        </w:rPr>
      </w:pPr>
      <w:r w:rsidRPr="00FC5088">
        <w:rPr>
          <w:iCs/>
          <w:sz w:val="28"/>
          <w:szCs w:val="28"/>
        </w:rPr>
        <w:t>Thường trực Ủy ban TCNS đề nghị cần tách riêng nội dung doanh nghiệp nhà nước và thể hiện thành điểm riêng tại khoản 1 Điều này, không quy định chung trong điểm a khoản 5 trên cơ sở xác định rõ phạm vi, nhiệm vụ bố trí cho doanh nghiệp nhà nước.</w:t>
      </w:r>
    </w:p>
    <w:p w14:paraId="11874236" w14:textId="77777777" w:rsidR="00A14620" w:rsidRPr="00FC5088" w:rsidRDefault="00A14620" w:rsidP="00A14620">
      <w:pPr>
        <w:widowControl w:val="0"/>
        <w:pBdr>
          <w:top w:val="dotted" w:sz="4" w:space="0" w:color="FFFFFF"/>
          <w:left w:val="dotted" w:sz="4" w:space="0" w:color="FFFFFF"/>
          <w:bottom w:val="dotted" w:sz="4" w:space="0" w:color="FFFFFF"/>
          <w:right w:val="dotted" w:sz="4" w:space="0" w:color="FFFFFF"/>
        </w:pBdr>
        <w:shd w:val="clear" w:color="auto" w:fill="FFFFFF"/>
        <w:spacing w:before="80" w:after="80" w:line="360" w:lineRule="exact"/>
        <w:ind w:firstLine="720"/>
        <w:jc w:val="both"/>
        <w:rPr>
          <w:iCs/>
          <w:sz w:val="28"/>
          <w:szCs w:val="28"/>
        </w:rPr>
      </w:pPr>
      <w:r w:rsidRPr="00FC5088">
        <w:rPr>
          <w:iCs/>
          <w:sz w:val="28"/>
          <w:szCs w:val="28"/>
        </w:rPr>
        <w:t xml:space="preserve">Đối với bổ sung thêm chi của NSTW cho địa phương theo các ngành, lĩnh vực </w:t>
      </w:r>
      <w:r w:rsidRPr="00FC5088">
        <w:rPr>
          <w:iCs/>
          <w:sz w:val="28"/>
          <w:szCs w:val="28"/>
        </w:rPr>
        <w:lastRenderedPageBreak/>
        <w:t>được quy định tại Luật Đầu tư công, Thường trực Ủy ban TCNS đề nghị không quy định nội dung này do đã được quy định chi tiết, cụ thể tại Điều 9 và khoản 9 Điều 36 Luật NSNN.</w:t>
      </w:r>
    </w:p>
    <w:p w14:paraId="0D03C1CD" w14:textId="77777777" w:rsidR="00A14620" w:rsidRPr="00FC5088" w:rsidRDefault="00A14620" w:rsidP="00A14620">
      <w:pPr>
        <w:widowControl w:val="0"/>
        <w:pBdr>
          <w:top w:val="dotted" w:sz="4" w:space="0" w:color="FFFFFF"/>
          <w:left w:val="dotted" w:sz="4" w:space="0" w:color="FFFFFF"/>
          <w:bottom w:val="dotted" w:sz="4" w:space="0" w:color="FFFFFF"/>
          <w:right w:val="dotted" w:sz="4" w:space="0" w:color="FFFFFF"/>
        </w:pBdr>
        <w:shd w:val="clear" w:color="auto" w:fill="FFFFFF"/>
        <w:spacing w:before="80" w:after="80" w:line="360" w:lineRule="exact"/>
        <w:ind w:firstLine="720"/>
        <w:jc w:val="both"/>
        <w:rPr>
          <w:iCs/>
          <w:sz w:val="28"/>
          <w:szCs w:val="28"/>
        </w:rPr>
      </w:pPr>
      <w:r w:rsidRPr="00FC5088">
        <w:rPr>
          <w:iCs/>
          <w:sz w:val="28"/>
          <w:szCs w:val="28"/>
        </w:rPr>
        <w:t xml:space="preserve">- Tại điểm b khoản 5, dự thảo Luật bổ sung hoạt động đầu tư và hỗ trợ vốn của nhà nước bao gồm hỗ trợ, cấp bù lãi suất tín dụng ưu đãi, phí quản lý; cấp vốn điều lệ cho các ngân hàng chính sách, quỹ tài chính nhà nước ngoài ngân sách. </w:t>
      </w:r>
    </w:p>
    <w:p w14:paraId="642E8114" w14:textId="6CF9A6D8" w:rsidR="00A14620" w:rsidRPr="00FC5088" w:rsidRDefault="00A14620" w:rsidP="00A14620">
      <w:pPr>
        <w:widowControl w:val="0"/>
        <w:pBdr>
          <w:top w:val="dotted" w:sz="4" w:space="0" w:color="FFFFFF"/>
          <w:left w:val="dotted" w:sz="4" w:space="0" w:color="FFFFFF"/>
          <w:bottom w:val="dotted" w:sz="4" w:space="0" w:color="FFFFFF"/>
          <w:right w:val="dotted" w:sz="4" w:space="0" w:color="FFFFFF"/>
        </w:pBdr>
        <w:shd w:val="clear" w:color="auto" w:fill="FFFFFF"/>
        <w:spacing w:before="80" w:after="80" w:line="360" w:lineRule="exact"/>
        <w:ind w:firstLine="720"/>
        <w:jc w:val="both"/>
        <w:rPr>
          <w:iCs/>
          <w:sz w:val="28"/>
          <w:szCs w:val="28"/>
        </w:rPr>
      </w:pPr>
      <w:r w:rsidRPr="00FC5088">
        <w:rPr>
          <w:iCs/>
          <w:sz w:val="28"/>
          <w:szCs w:val="28"/>
        </w:rPr>
        <w:t xml:space="preserve">Thường trực Ủy ban TCNS đề nghị bổ sung báo cáo làm rõ việc thực hiện trong thực tế đối với các nhiệm vụ chi này. Đồng thời, đề nghị bỏ quy định trong Dự thảo luật việc cấp vốn điều lệ cho các quỹ tài chính nhà nước ngoài ngân sách để bảo đảm tính thống nhất với quy định tại khoản 11 Điều 8 Luật NSNN. </w:t>
      </w:r>
    </w:p>
    <w:p w14:paraId="25927A3A" w14:textId="4C54A53B" w:rsidR="00AE347B" w:rsidRPr="00FC5088" w:rsidRDefault="007C5E03" w:rsidP="007844E0">
      <w:pPr>
        <w:widowControl w:val="0"/>
        <w:pBdr>
          <w:top w:val="dotted" w:sz="4" w:space="0" w:color="FFFFFF"/>
          <w:left w:val="dotted" w:sz="4" w:space="0" w:color="FFFFFF"/>
          <w:bottom w:val="dotted" w:sz="4" w:space="0" w:color="FFFFFF"/>
          <w:right w:val="dotted" w:sz="4" w:space="0" w:color="FFFFFF"/>
        </w:pBdr>
        <w:shd w:val="clear" w:color="auto" w:fill="FFFFFF"/>
        <w:spacing w:before="80" w:after="80" w:line="360" w:lineRule="exact"/>
        <w:ind w:firstLine="720"/>
        <w:jc w:val="both"/>
        <w:rPr>
          <w:spacing w:val="-2"/>
          <w:sz w:val="28"/>
          <w:szCs w:val="28"/>
        </w:rPr>
      </w:pPr>
      <w:r w:rsidRPr="00FC5088">
        <w:rPr>
          <w:i/>
          <w:sz w:val="28"/>
          <w:szCs w:val="28"/>
        </w:rPr>
        <w:t>- Về bổ sung điểm d khoản 5 Điều 19 Luật NSNN về việc giao Chính phủ, UBND tổ chức thực hiện đối với các khoản chi chưa phân bổ chi tiết:</w:t>
      </w:r>
      <w:r w:rsidRPr="00FC5088">
        <w:rPr>
          <w:b/>
          <w:i/>
          <w:sz w:val="28"/>
          <w:szCs w:val="28"/>
        </w:rPr>
        <w:t xml:space="preserve"> </w:t>
      </w:r>
      <w:r w:rsidRPr="00FC5088">
        <w:rPr>
          <w:spacing w:val="-2"/>
          <w:sz w:val="28"/>
          <w:szCs w:val="28"/>
        </w:rPr>
        <w:t>Đa số ý kiến Thường trực Ủy ban TCNS cho rằng, để bảo đảm tính khả thi, đúng quy định của pháp luật về thẩm quyền, tháo gỡ khó khăn, vướng mắc hiện tại đề nghị không</w:t>
      </w:r>
      <w:r w:rsidR="00485AF7" w:rsidRPr="00FC5088">
        <w:rPr>
          <w:spacing w:val="-2"/>
          <w:sz w:val="28"/>
          <w:szCs w:val="28"/>
        </w:rPr>
        <w:t xml:space="preserve"> nên</w:t>
      </w:r>
      <w:r w:rsidRPr="00FC5088">
        <w:rPr>
          <w:spacing w:val="-2"/>
          <w:sz w:val="28"/>
          <w:szCs w:val="28"/>
        </w:rPr>
        <w:t xml:space="preserve"> sửa đổi như đề xuất nêu tại dự thảo Luật, mà xem xét sửa đổi Điều 10 của Luật NSNN về dự phòng NSNN, theo đó điều chỉnh tăng trần mức bố trí dự phòng NSNN mỗi cấp tại khoản 1 Điều 10 và bổ sung các nhiệm vụ chi được sử dụng từ nguồn dự phòng tại khoản 2 Điều 10. </w:t>
      </w:r>
      <w:r w:rsidR="00026A8C" w:rsidRPr="00FC5088">
        <w:rPr>
          <w:spacing w:val="-2"/>
          <w:sz w:val="28"/>
          <w:szCs w:val="28"/>
        </w:rPr>
        <w:t>T</w:t>
      </w:r>
      <w:r w:rsidRPr="00FC5088">
        <w:rPr>
          <w:spacing w:val="-2"/>
          <w:sz w:val="28"/>
          <w:szCs w:val="28"/>
        </w:rPr>
        <w:t xml:space="preserve">hẩm quyền quyết định dự phòng NSTW hằng năm </w:t>
      </w:r>
      <w:r w:rsidR="00026A8C" w:rsidRPr="00FC5088">
        <w:rPr>
          <w:spacing w:val="-2"/>
          <w:sz w:val="28"/>
          <w:szCs w:val="28"/>
        </w:rPr>
        <w:t xml:space="preserve">thuộc </w:t>
      </w:r>
      <w:r w:rsidRPr="00FC5088">
        <w:rPr>
          <w:spacing w:val="-2"/>
          <w:sz w:val="28"/>
          <w:szCs w:val="28"/>
        </w:rPr>
        <w:t>Chính phủ</w:t>
      </w:r>
      <w:r w:rsidR="00026A8C" w:rsidRPr="00FC5088">
        <w:rPr>
          <w:spacing w:val="-2"/>
          <w:sz w:val="28"/>
          <w:szCs w:val="28"/>
        </w:rPr>
        <w:t>. Do vậy, với quy định tăng trần mức bố trí dự phòng, sẽ mở rộng thẩm quyền điều hành linh hoạt hơn đáp ứng yêu cầu biến động của thực tiễn.</w:t>
      </w:r>
    </w:p>
    <w:p w14:paraId="5F759085" w14:textId="53984CFB" w:rsidR="00AE347B" w:rsidRPr="00FC5088" w:rsidRDefault="00AE347B" w:rsidP="007844E0">
      <w:pPr>
        <w:widowControl w:val="0"/>
        <w:pBdr>
          <w:top w:val="dotted" w:sz="4" w:space="0" w:color="FFFFFF"/>
          <w:left w:val="dotted" w:sz="4" w:space="0" w:color="FFFFFF"/>
          <w:bottom w:val="dotted" w:sz="4" w:space="0" w:color="FFFFFF"/>
          <w:right w:val="dotted" w:sz="4" w:space="0" w:color="FFFFFF"/>
        </w:pBdr>
        <w:shd w:val="clear" w:color="auto" w:fill="FFFFFF"/>
        <w:spacing w:before="80" w:after="80" w:line="360" w:lineRule="exact"/>
        <w:ind w:firstLine="720"/>
        <w:jc w:val="both"/>
        <w:rPr>
          <w:b/>
          <w:bCs/>
          <w:sz w:val="28"/>
          <w:szCs w:val="28"/>
        </w:rPr>
      </w:pPr>
      <w:r w:rsidRPr="00FC5088">
        <w:rPr>
          <w:i/>
          <w:spacing w:val="-2"/>
          <w:sz w:val="28"/>
          <w:szCs w:val="28"/>
        </w:rPr>
        <w:t xml:space="preserve">- Về </w:t>
      </w:r>
      <w:r w:rsidRPr="00FC5088">
        <w:rPr>
          <w:bCs/>
          <w:i/>
          <w:sz w:val="28"/>
          <w:szCs w:val="28"/>
          <w:lang w:val="de-DE"/>
        </w:rPr>
        <w:t>cơ chế tài chính đặc thù để thực hiện các nhiệm vụ chính trị của Đảng Cộng sản Việt Nam:</w:t>
      </w:r>
      <w:r w:rsidRPr="00FC5088">
        <w:rPr>
          <w:b/>
          <w:bCs/>
          <w:i/>
          <w:sz w:val="28"/>
          <w:szCs w:val="28"/>
          <w:lang w:val="de-DE"/>
        </w:rPr>
        <w:t xml:space="preserve"> </w:t>
      </w:r>
      <w:r w:rsidRPr="00FC5088">
        <w:rPr>
          <w:spacing w:val="-2"/>
          <w:sz w:val="28"/>
          <w:szCs w:val="28"/>
        </w:rPr>
        <w:t>Dự thảo Luật bổ sung</w:t>
      </w:r>
      <w:r w:rsidR="00C60CBD" w:rsidRPr="00FC5088">
        <w:rPr>
          <w:spacing w:val="-2"/>
          <w:sz w:val="28"/>
          <w:szCs w:val="28"/>
        </w:rPr>
        <w:t xml:space="preserve"> nội dung</w:t>
      </w:r>
      <w:r w:rsidRPr="00FC5088">
        <w:rPr>
          <w:spacing w:val="-2"/>
          <w:sz w:val="28"/>
          <w:szCs w:val="28"/>
        </w:rPr>
        <w:t>: Chính phủ quy định chi tiết đối với một số hoạt động của Đảng. Thường trực Ủy ban TCNS nhất trí và cho rằng, trong</w:t>
      </w:r>
      <w:r w:rsidRPr="00FC5088">
        <w:rPr>
          <w:bCs/>
          <w:sz w:val="28"/>
          <w:szCs w:val="28"/>
          <w:lang w:val="nb-NO"/>
        </w:rPr>
        <w:t xml:space="preserve"> thời gian qua, việc áp dụng chính sách chung chưa phù hợp với nhiệm vụ của Đảng, cần có quy định chế đặc thù đối với khối các cơ quan này.</w:t>
      </w:r>
    </w:p>
    <w:p w14:paraId="2D2182F7" w14:textId="77777777" w:rsidR="006D00CB" w:rsidRPr="00FC5088" w:rsidRDefault="00C60CBD" w:rsidP="006D00CB">
      <w:pPr>
        <w:widowControl w:val="0"/>
        <w:pBdr>
          <w:top w:val="dotted" w:sz="4" w:space="0" w:color="FFFFFF"/>
          <w:left w:val="dotted" w:sz="4" w:space="0" w:color="FFFFFF"/>
          <w:bottom w:val="dotted" w:sz="4" w:space="31" w:color="FFFFFF"/>
          <w:right w:val="dotted" w:sz="4" w:space="0" w:color="FFFFFF"/>
        </w:pBdr>
        <w:shd w:val="clear" w:color="auto" w:fill="FFFFFF"/>
        <w:spacing w:before="80" w:after="80" w:line="360" w:lineRule="exact"/>
        <w:ind w:firstLine="720"/>
        <w:jc w:val="both"/>
        <w:rPr>
          <w:b/>
          <w:spacing w:val="-4"/>
          <w:sz w:val="28"/>
          <w:szCs w:val="28"/>
        </w:rPr>
      </w:pPr>
      <w:r w:rsidRPr="00FC5088">
        <w:rPr>
          <w:b/>
          <w:bCs/>
          <w:sz w:val="28"/>
          <w:szCs w:val="28"/>
          <w:lang w:eastAsia="en-GB"/>
        </w:rPr>
        <w:t>5</w:t>
      </w:r>
      <w:r w:rsidR="00225F17" w:rsidRPr="00FC5088">
        <w:rPr>
          <w:b/>
          <w:bCs/>
          <w:sz w:val="28"/>
          <w:szCs w:val="28"/>
          <w:lang w:eastAsia="en-GB"/>
        </w:rPr>
        <w:t>.</w:t>
      </w:r>
      <w:r w:rsidR="00225F17" w:rsidRPr="00FC5088">
        <w:rPr>
          <w:sz w:val="28"/>
          <w:szCs w:val="28"/>
          <w:lang w:eastAsia="en-GB"/>
        </w:rPr>
        <w:t xml:space="preserve"> </w:t>
      </w:r>
      <w:r w:rsidR="00225F17" w:rsidRPr="00FC5088">
        <w:rPr>
          <w:b/>
          <w:spacing w:val="-4"/>
          <w:sz w:val="28"/>
          <w:szCs w:val="28"/>
        </w:rPr>
        <w:t>Về sửa đổi, bổ sung một số điều của Luật Quản lý, sử dụng tài sản công</w:t>
      </w:r>
      <w:r w:rsidR="00AF4F17" w:rsidRPr="00FC5088">
        <w:rPr>
          <w:b/>
          <w:spacing w:val="-4"/>
          <w:sz w:val="28"/>
          <w:szCs w:val="28"/>
        </w:rPr>
        <w:t xml:space="preserve"> </w:t>
      </w:r>
    </w:p>
    <w:p w14:paraId="5BC7F930" w14:textId="08D94172" w:rsidR="006D00CB" w:rsidRPr="00FC5088" w:rsidRDefault="006D00CB" w:rsidP="006D00CB">
      <w:pPr>
        <w:widowControl w:val="0"/>
        <w:pBdr>
          <w:top w:val="dotted" w:sz="4" w:space="0" w:color="FFFFFF"/>
          <w:left w:val="dotted" w:sz="4" w:space="0" w:color="FFFFFF"/>
          <w:bottom w:val="dotted" w:sz="4" w:space="31" w:color="FFFFFF"/>
          <w:right w:val="dotted" w:sz="4" w:space="0" w:color="FFFFFF"/>
        </w:pBdr>
        <w:shd w:val="clear" w:color="auto" w:fill="FFFFFF"/>
        <w:spacing w:before="80" w:after="80" w:line="360" w:lineRule="exact"/>
        <w:ind w:firstLine="720"/>
        <w:jc w:val="both"/>
        <w:rPr>
          <w:bCs/>
          <w:sz w:val="28"/>
          <w:szCs w:val="28"/>
        </w:rPr>
      </w:pPr>
      <w:r w:rsidRPr="00FC5088">
        <w:rPr>
          <w:b/>
          <w:i/>
          <w:iCs/>
          <w:sz w:val="28"/>
          <w:szCs w:val="28"/>
        </w:rPr>
        <w:t>- Về thẩm quyền phê duyệt Đề án sử dụng tài sản công vào mục đích kinh doanh, cho thuê, liên doanh, liên kết</w:t>
      </w:r>
      <w:r w:rsidRPr="00FC5088">
        <w:rPr>
          <w:b/>
          <w:sz w:val="28"/>
          <w:szCs w:val="28"/>
        </w:rPr>
        <w:t xml:space="preserve"> </w:t>
      </w:r>
      <w:r w:rsidRPr="00FC5088">
        <w:rPr>
          <w:bCs/>
          <w:i/>
          <w:iCs/>
          <w:sz w:val="28"/>
          <w:szCs w:val="28"/>
        </w:rPr>
        <w:t>(khoản 7, khoản 8, khoản 9 Điều 5 dự thảo Luật)</w:t>
      </w:r>
    </w:p>
    <w:p w14:paraId="374A9379" w14:textId="6BDA25B0" w:rsidR="006D00CB" w:rsidRPr="00FC5088" w:rsidRDefault="006D00CB" w:rsidP="006D00CB">
      <w:pPr>
        <w:widowControl w:val="0"/>
        <w:pBdr>
          <w:top w:val="dotted" w:sz="4" w:space="0" w:color="FFFFFF"/>
          <w:left w:val="dotted" w:sz="4" w:space="0" w:color="FFFFFF"/>
          <w:bottom w:val="dotted" w:sz="4" w:space="31" w:color="FFFFFF"/>
          <w:right w:val="dotted" w:sz="4" w:space="0" w:color="FFFFFF"/>
        </w:pBdr>
        <w:shd w:val="clear" w:color="auto" w:fill="FFFFFF"/>
        <w:spacing w:before="80" w:after="80" w:line="360" w:lineRule="exact"/>
        <w:ind w:firstLine="720"/>
        <w:jc w:val="both"/>
        <w:rPr>
          <w:sz w:val="28"/>
          <w:szCs w:val="28"/>
        </w:rPr>
      </w:pPr>
      <w:r w:rsidRPr="00FC5088">
        <w:rPr>
          <w:bCs/>
          <w:iCs/>
          <w:sz w:val="28"/>
          <w:szCs w:val="28"/>
        </w:rPr>
        <w:t>Theo quy định hiện hành mọi Đề án</w:t>
      </w:r>
      <w:r w:rsidRPr="00FC5088">
        <w:rPr>
          <w:sz w:val="28"/>
          <w:szCs w:val="28"/>
        </w:rPr>
        <w:t xml:space="preserve"> sử dụng tài sản công đều do </w:t>
      </w:r>
      <w:r w:rsidRPr="00FC5088">
        <w:rPr>
          <w:i/>
          <w:iCs/>
          <w:sz w:val="28"/>
          <w:szCs w:val="28"/>
        </w:rPr>
        <w:t>Bộ trưởng, Thủ trưởng cơ quan trung trung ương,</w:t>
      </w:r>
      <w:r w:rsidRPr="00FC5088">
        <w:rPr>
          <w:b/>
          <w:bCs/>
          <w:i/>
          <w:iCs/>
          <w:sz w:val="28"/>
          <w:szCs w:val="28"/>
        </w:rPr>
        <w:t xml:space="preserve"> Chủ tịch Ủy ban nhân dân cấp tỉnh</w:t>
      </w:r>
      <w:r w:rsidRPr="00FC5088">
        <w:rPr>
          <w:rStyle w:val="FootnoteReference"/>
          <w:sz w:val="28"/>
          <w:szCs w:val="28"/>
        </w:rPr>
        <w:footnoteReference w:id="2"/>
      </w:r>
      <w:r w:rsidRPr="00FC5088">
        <w:rPr>
          <w:b/>
          <w:bCs/>
          <w:i/>
          <w:iCs/>
          <w:sz w:val="28"/>
          <w:szCs w:val="28"/>
        </w:rPr>
        <w:t xml:space="preserve"> </w:t>
      </w:r>
      <w:r w:rsidRPr="00FC5088">
        <w:rPr>
          <w:bCs/>
          <w:iCs/>
          <w:sz w:val="28"/>
          <w:szCs w:val="28"/>
        </w:rPr>
        <w:t>phê duyệt</w:t>
      </w:r>
      <w:r w:rsidRPr="00FC5088">
        <w:rPr>
          <w:sz w:val="28"/>
          <w:szCs w:val="28"/>
        </w:rPr>
        <w:t xml:space="preserve">. </w:t>
      </w:r>
    </w:p>
    <w:p w14:paraId="0413EAC8" w14:textId="009D348E" w:rsidR="006D00CB" w:rsidRPr="00FC5088" w:rsidRDefault="006D00CB" w:rsidP="006D00CB">
      <w:pPr>
        <w:widowControl w:val="0"/>
        <w:pBdr>
          <w:top w:val="dotted" w:sz="4" w:space="0" w:color="FFFFFF"/>
          <w:left w:val="dotted" w:sz="4" w:space="0" w:color="FFFFFF"/>
          <w:bottom w:val="dotted" w:sz="4" w:space="31" w:color="FFFFFF"/>
          <w:right w:val="dotted" w:sz="4" w:space="0" w:color="FFFFFF"/>
        </w:pBdr>
        <w:shd w:val="clear" w:color="auto" w:fill="FFFFFF"/>
        <w:spacing w:before="80" w:after="80" w:line="360" w:lineRule="exact"/>
        <w:ind w:firstLine="720"/>
        <w:jc w:val="both"/>
        <w:rPr>
          <w:spacing w:val="-2"/>
          <w:sz w:val="28"/>
          <w:szCs w:val="28"/>
        </w:rPr>
      </w:pPr>
      <w:r w:rsidRPr="00FC5088">
        <w:rPr>
          <w:spacing w:val="-2"/>
          <w:sz w:val="28"/>
          <w:szCs w:val="28"/>
        </w:rPr>
        <w:t xml:space="preserve">Về vấn đề này, Báo cáo số 924/BC-ĐGS ngày 16/5/2024 của Ủy ban Thường vụ Quốc hội về kết quả giám sát chuyên đề </w:t>
      </w:r>
      <w:r w:rsidRPr="00FC5088">
        <w:rPr>
          <w:i/>
          <w:iCs/>
          <w:spacing w:val="-2"/>
          <w:sz w:val="28"/>
          <w:szCs w:val="28"/>
        </w:rPr>
        <w:t xml:space="preserve">“Việc thực hiện chính sách, pháp luật về đổi mới hệ thống tổ chức và quản lý, nâng cao chất lượng, hiệu quả hoạt động của các </w:t>
      </w:r>
      <w:r w:rsidRPr="00FC5088">
        <w:rPr>
          <w:i/>
          <w:iCs/>
          <w:spacing w:val="-2"/>
          <w:sz w:val="28"/>
          <w:szCs w:val="28"/>
        </w:rPr>
        <w:lastRenderedPageBreak/>
        <w:t>đơn vị sự nghiệp công lập giai đoạn 2018 - 2021”</w:t>
      </w:r>
      <w:r w:rsidRPr="00FC5088">
        <w:rPr>
          <w:rStyle w:val="FootnoteReference"/>
          <w:spacing w:val="-2"/>
          <w:sz w:val="28"/>
          <w:szCs w:val="28"/>
        </w:rPr>
        <w:footnoteReference w:id="3"/>
      </w:r>
      <w:r w:rsidRPr="00FC5088">
        <w:rPr>
          <w:spacing w:val="-2"/>
          <w:sz w:val="28"/>
          <w:szCs w:val="28"/>
        </w:rPr>
        <w:t xml:space="preserve"> đã phản ánh thực tiễn các đơn vị sự nghiệp công lập gặp rất nhiều vướng mắc do quy trình phê duyệt kéo dài. </w:t>
      </w:r>
    </w:p>
    <w:p w14:paraId="286D44A2" w14:textId="43B8509C" w:rsidR="006D00CB" w:rsidRPr="00FC5088" w:rsidRDefault="006D00CB" w:rsidP="006D00CB">
      <w:pPr>
        <w:widowControl w:val="0"/>
        <w:pBdr>
          <w:top w:val="dotted" w:sz="4" w:space="0" w:color="FFFFFF"/>
          <w:left w:val="dotted" w:sz="4" w:space="0" w:color="FFFFFF"/>
          <w:bottom w:val="dotted" w:sz="4" w:space="31" w:color="FFFFFF"/>
          <w:right w:val="dotted" w:sz="4" w:space="0" w:color="FFFFFF"/>
        </w:pBdr>
        <w:shd w:val="clear" w:color="auto" w:fill="FFFFFF"/>
        <w:spacing w:before="80" w:after="80" w:line="360" w:lineRule="exact"/>
        <w:ind w:firstLine="720"/>
        <w:jc w:val="both"/>
        <w:rPr>
          <w:spacing w:val="-2"/>
          <w:sz w:val="28"/>
          <w:szCs w:val="28"/>
        </w:rPr>
      </w:pPr>
      <w:r w:rsidRPr="00FC5088">
        <w:rPr>
          <w:sz w:val="28"/>
          <w:szCs w:val="28"/>
        </w:rPr>
        <w:t xml:space="preserve">Để giải quyết vướng mắc này, Dự thảo Luật dự kiến sửa đổi quy định này theo hướng giao Bộ trưởng, Thủ trưởng cơ quan trung ương, </w:t>
      </w:r>
      <w:r w:rsidRPr="00FC5088">
        <w:rPr>
          <w:b/>
          <w:bCs/>
          <w:i/>
          <w:iCs/>
          <w:sz w:val="28"/>
          <w:szCs w:val="28"/>
        </w:rPr>
        <w:t>Hội đồng nhân dân cấp tỉnh</w:t>
      </w:r>
      <w:r w:rsidRPr="00FC5088">
        <w:rPr>
          <w:sz w:val="28"/>
          <w:szCs w:val="28"/>
        </w:rPr>
        <w:t xml:space="preserve"> </w:t>
      </w:r>
      <w:r w:rsidRPr="00FC5088">
        <w:rPr>
          <w:b/>
          <w:i/>
          <w:sz w:val="28"/>
          <w:szCs w:val="28"/>
        </w:rPr>
        <w:t>ban hành các</w:t>
      </w:r>
      <w:r w:rsidRPr="00FC5088">
        <w:rPr>
          <w:sz w:val="28"/>
          <w:szCs w:val="28"/>
        </w:rPr>
        <w:t xml:space="preserve"> </w:t>
      </w:r>
      <w:r w:rsidRPr="00FC5088">
        <w:rPr>
          <w:b/>
          <w:bCs/>
          <w:i/>
          <w:iCs/>
          <w:sz w:val="28"/>
          <w:szCs w:val="28"/>
        </w:rPr>
        <w:t>quy định về thẩm quyền phê duyệt các Đề án</w:t>
      </w:r>
      <w:r w:rsidRPr="00FC5088">
        <w:rPr>
          <w:sz w:val="28"/>
          <w:szCs w:val="28"/>
        </w:rPr>
        <w:t xml:space="preserve"> sử dụng tài sản công tại các đơn vị sự nghiệp công lập thuộc phạm vi quản lý của Bộ, cơ quan trung ương, địa phương vào mục đích kinh doanh, cho thuê, liên doanh, liên kết. </w:t>
      </w:r>
      <w:r w:rsidRPr="00FC5088">
        <w:rPr>
          <w:spacing w:val="-2"/>
          <w:sz w:val="28"/>
          <w:szCs w:val="28"/>
        </w:rPr>
        <w:t>Do vậy, đa số ý kiến Thường trực Ủy ban TCNS nhất trí với dự thảo Luật.</w:t>
      </w:r>
    </w:p>
    <w:p w14:paraId="2609B322" w14:textId="7EDFFE61" w:rsidR="006D00CB" w:rsidRPr="00FC5088" w:rsidRDefault="006D00CB" w:rsidP="006D00CB">
      <w:pPr>
        <w:widowControl w:val="0"/>
        <w:pBdr>
          <w:top w:val="dotted" w:sz="4" w:space="0" w:color="FFFFFF"/>
          <w:left w:val="dotted" w:sz="4" w:space="0" w:color="FFFFFF"/>
          <w:bottom w:val="dotted" w:sz="4" w:space="31" w:color="FFFFFF"/>
          <w:right w:val="dotted" w:sz="4" w:space="0" w:color="FFFFFF"/>
        </w:pBdr>
        <w:shd w:val="clear" w:color="auto" w:fill="FFFFFF"/>
        <w:spacing w:before="80" w:after="80" w:line="360" w:lineRule="exact"/>
        <w:ind w:firstLine="720"/>
        <w:jc w:val="both"/>
        <w:rPr>
          <w:bCs/>
          <w:sz w:val="28"/>
          <w:szCs w:val="28"/>
        </w:rPr>
      </w:pPr>
      <w:r w:rsidRPr="00FC5088">
        <w:rPr>
          <w:b/>
          <w:i/>
          <w:iCs/>
          <w:sz w:val="28"/>
          <w:szCs w:val="28"/>
          <w:lang w:val="en-SG"/>
        </w:rPr>
        <w:t>- Về</w:t>
      </w:r>
      <w:r w:rsidRPr="00FC5088">
        <w:rPr>
          <w:b/>
          <w:i/>
          <w:iCs/>
          <w:sz w:val="28"/>
          <w:szCs w:val="28"/>
        </w:rPr>
        <w:t xml:space="preserve"> sửa đổi, bổ sung khoản 2, khoản 3 Điều 80 Luật Quản lý, sử dụng tài sản công về lập, phê duyệt Đề án khai thác tài sản kết cấu hạ tầng</w:t>
      </w:r>
      <w:r w:rsidRPr="00FC5088">
        <w:rPr>
          <w:b/>
          <w:sz w:val="28"/>
          <w:szCs w:val="28"/>
        </w:rPr>
        <w:t xml:space="preserve"> </w:t>
      </w:r>
      <w:r w:rsidRPr="00FC5088">
        <w:rPr>
          <w:bCs/>
          <w:i/>
          <w:iCs/>
          <w:sz w:val="28"/>
          <w:szCs w:val="28"/>
        </w:rPr>
        <w:t>(khoản 12 Điều 5 dự thảo Luật)</w:t>
      </w:r>
      <w:r w:rsidRPr="00FC5088">
        <w:rPr>
          <w:bCs/>
          <w:sz w:val="28"/>
          <w:szCs w:val="28"/>
        </w:rPr>
        <w:t xml:space="preserve"> </w:t>
      </w:r>
    </w:p>
    <w:p w14:paraId="1A05B4C9" w14:textId="77777777" w:rsidR="006D00CB" w:rsidRPr="00FC5088" w:rsidRDefault="006D00CB" w:rsidP="006D00CB">
      <w:pPr>
        <w:widowControl w:val="0"/>
        <w:pBdr>
          <w:top w:val="dotted" w:sz="4" w:space="0" w:color="FFFFFF"/>
          <w:left w:val="dotted" w:sz="4" w:space="0" w:color="FFFFFF"/>
          <w:bottom w:val="dotted" w:sz="4" w:space="31" w:color="FFFFFF"/>
          <w:right w:val="dotted" w:sz="4" w:space="0" w:color="FFFFFF"/>
        </w:pBdr>
        <w:shd w:val="clear" w:color="auto" w:fill="FFFFFF"/>
        <w:spacing w:before="80" w:after="80" w:line="360" w:lineRule="exact"/>
        <w:ind w:firstLine="720"/>
        <w:jc w:val="both"/>
        <w:rPr>
          <w:bCs/>
          <w:sz w:val="28"/>
          <w:szCs w:val="28"/>
        </w:rPr>
      </w:pPr>
      <w:r w:rsidRPr="00FC5088">
        <w:rPr>
          <w:bCs/>
          <w:sz w:val="28"/>
          <w:szCs w:val="28"/>
        </w:rPr>
        <w:t>Đa số ý kiến thường trực Ủy ban TCNS nhất trí với nội dung sửa đổi theo hướng việc lập Đề án được căn cứ vào đặc thù của từng loại tài sản; đối với các trường hợp tài sản kết cấu hạ tầng phục vụ mục đích công cộng mà không phát sinh nguồn thu từ khai thác và một số trường hợp khác theo quy định của Chính phủ thì không phải lập Đề án.</w:t>
      </w:r>
    </w:p>
    <w:p w14:paraId="6CEDA0AB" w14:textId="302A23EF" w:rsidR="006D00CB" w:rsidRPr="00FC5088" w:rsidRDefault="006D00CB" w:rsidP="006D00CB">
      <w:pPr>
        <w:widowControl w:val="0"/>
        <w:pBdr>
          <w:top w:val="dotted" w:sz="4" w:space="0" w:color="FFFFFF"/>
          <w:left w:val="dotted" w:sz="4" w:space="0" w:color="FFFFFF"/>
          <w:bottom w:val="dotted" w:sz="4" w:space="31" w:color="FFFFFF"/>
          <w:right w:val="dotted" w:sz="4" w:space="0" w:color="FFFFFF"/>
        </w:pBdr>
        <w:shd w:val="clear" w:color="auto" w:fill="FFFFFF"/>
        <w:spacing w:before="80" w:after="80" w:line="360" w:lineRule="exact"/>
        <w:ind w:firstLine="720"/>
        <w:jc w:val="both"/>
        <w:rPr>
          <w:i/>
          <w:iCs/>
          <w:sz w:val="28"/>
          <w:szCs w:val="28"/>
        </w:rPr>
      </w:pPr>
      <w:r w:rsidRPr="00FC5088">
        <w:rPr>
          <w:b/>
          <w:i/>
          <w:iCs/>
          <w:sz w:val="28"/>
          <w:szCs w:val="28"/>
        </w:rPr>
        <w:t>- Về quản lý, sử dụng, khai thác nguồn lực tài chính từ đất đai, tài nguyên</w:t>
      </w:r>
      <w:r w:rsidRPr="00FC5088">
        <w:rPr>
          <w:b/>
          <w:sz w:val="28"/>
          <w:szCs w:val="28"/>
        </w:rPr>
        <w:t xml:space="preserve"> </w:t>
      </w:r>
    </w:p>
    <w:p w14:paraId="5ED314D1" w14:textId="77777777" w:rsidR="00C8625F" w:rsidRPr="00FC5088" w:rsidRDefault="006D00CB" w:rsidP="00C8625F">
      <w:pPr>
        <w:widowControl w:val="0"/>
        <w:pBdr>
          <w:top w:val="dotted" w:sz="4" w:space="0" w:color="FFFFFF"/>
          <w:left w:val="dotted" w:sz="4" w:space="0" w:color="FFFFFF"/>
          <w:bottom w:val="dotted" w:sz="4" w:space="31" w:color="FFFFFF"/>
          <w:right w:val="dotted" w:sz="4" w:space="0" w:color="FFFFFF"/>
        </w:pBdr>
        <w:shd w:val="clear" w:color="auto" w:fill="FFFFFF"/>
        <w:spacing w:before="80" w:after="80" w:line="360" w:lineRule="exact"/>
        <w:ind w:firstLine="720"/>
        <w:jc w:val="both"/>
        <w:rPr>
          <w:sz w:val="28"/>
          <w:szCs w:val="28"/>
        </w:rPr>
      </w:pPr>
      <w:r w:rsidRPr="00FC5088">
        <w:rPr>
          <w:sz w:val="28"/>
          <w:szCs w:val="28"/>
        </w:rPr>
        <w:t>Luật Quản lý, sử dụng tài sản công hiện hành chưa có quy định cụ thể về việc áp dụng pháp luật giữa Luật Quản lý, sử dụng tài sản công với các văn bản quy phạm pháp luật khác về việc thực hiện quản lý, sử dụng, khai thác nguồn lực tài sản từ đất đai, tài nguyên. Thời gian qua, Quốc hội đã ban hành các Luật quy định cụ thể về chế độ quản lý, sử dụng đối với đất đai, tài nguyên</w:t>
      </w:r>
      <w:r w:rsidRPr="00FC5088">
        <w:rPr>
          <w:rStyle w:val="FootnoteReference"/>
          <w:sz w:val="28"/>
          <w:szCs w:val="28"/>
        </w:rPr>
        <w:footnoteReference w:id="4"/>
      </w:r>
      <w:r w:rsidRPr="00FC5088">
        <w:rPr>
          <w:sz w:val="28"/>
          <w:szCs w:val="28"/>
        </w:rPr>
        <w:t>. Do đó, đa số ý kiến Thường trực Ủy ban TCNS nhất trí việc bổ sung các nội dung liên quan quản lý, sử dụng, khai thác nguồn lực tài sản từ đất đai, tài nguyên để bảo đảm tính thống nhất với các pháp luật khác về quản lý, sử dụng, khai thác nguồn lực tài sản từ đất đai, tài nguyên. Tuy nhiên, về nội dung sửa đổi cụ thể đề nghị cơ quan soạn thảo tiếp tục rà soát các quy định pháp luật có liên quan để chỉnh lý hoàn thiện bảo đảm tính đồng bộ, thống nhất.</w:t>
      </w:r>
    </w:p>
    <w:p w14:paraId="5304F692" w14:textId="77777777" w:rsidR="00C8625F" w:rsidRPr="00FC5088" w:rsidRDefault="00C8625F" w:rsidP="00C8625F">
      <w:pPr>
        <w:widowControl w:val="0"/>
        <w:pBdr>
          <w:top w:val="dotted" w:sz="4" w:space="0" w:color="FFFFFF"/>
          <w:left w:val="dotted" w:sz="4" w:space="0" w:color="FFFFFF"/>
          <w:bottom w:val="dotted" w:sz="4" w:space="31" w:color="FFFFFF"/>
          <w:right w:val="dotted" w:sz="4" w:space="0" w:color="FFFFFF"/>
        </w:pBdr>
        <w:shd w:val="clear" w:color="auto" w:fill="FFFFFF"/>
        <w:spacing w:before="80" w:after="80" w:line="360" w:lineRule="exact"/>
        <w:ind w:firstLine="720"/>
        <w:jc w:val="both"/>
        <w:rPr>
          <w:b/>
          <w:spacing w:val="-4"/>
          <w:sz w:val="28"/>
          <w:szCs w:val="28"/>
        </w:rPr>
      </w:pPr>
      <w:r w:rsidRPr="00FC5088">
        <w:rPr>
          <w:b/>
          <w:spacing w:val="-4"/>
          <w:sz w:val="28"/>
          <w:szCs w:val="28"/>
        </w:rPr>
        <w:t xml:space="preserve">6. Về sửa đổi, bổ sung một số điều của Luật Quản lý thuế </w:t>
      </w:r>
    </w:p>
    <w:p w14:paraId="605F9518" w14:textId="43B29788" w:rsidR="00C8625F" w:rsidRPr="00FC5088" w:rsidRDefault="00C8625F" w:rsidP="00C8625F">
      <w:pPr>
        <w:widowControl w:val="0"/>
        <w:pBdr>
          <w:top w:val="dotted" w:sz="4" w:space="0" w:color="FFFFFF"/>
          <w:left w:val="dotted" w:sz="4" w:space="0" w:color="FFFFFF"/>
          <w:bottom w:val="dotted" w:sz="4" w:space="31" w:color="FFFFFF"/>
          <w:right w:val="dotted" w:sz="4" w:space="0" w:color="FFFFFF"/>
        </w:pBdr>
        <w:shd w:val="clear" w:color="auto" w:fill="FFFFFF"/>
        <w:spacing w:before="80" w:after="80" w:line="360" w:lineRule="exact"/>
        <w:ind w:firstLine="720"/>
        <w:jc w:val="both"/>
        <w:rPr>
          <w:sz w:val="28"/>
          <w:szCs w:val="28"/>
          <w:lang w:val="vi-VN"/>
        </w:rPr>
      </w:pPr>
      <w:r w:rsidRPr="00FC5088">
        <w:rPr>
          <w:sz w:val="28"/>
          <w:szCs w:val="28"/>
          <w:lang w:val="en-GB"/>
        </w:rPr>
        <w:t>Chính phủ đề xuất bổ sung khoản 2 Điều 5 của Luật Quản lý thuế</w:t>
      </w:r>
      <w:r w:rsidRPr="00FC5088">
        <w:rPr>
          <w:sz w:val="28"/>
          <w:szCs w:val="28"/>
          <w:lang w:val="vi-VN"/>
        </w:rPr>
        <w:t xml:space="preserve"> quy định </w:t>
      </w:r>
      <w:r w:rsidRPr="00FC5088">
        <w:rPr>
          <w:sz w:val="28"/>
          <w:szCs w:val="28"/>
          <w:lang w:val="en-GB"/>
        </w:rPr>
        <w:t>về trách nhiệm của công chức quản lý thuế</w:t>
      </w:r>
      <w:r w:rsidRPr="00FC5088">
        <w:rPr>
          <w:rStyle w:val="FootnoteReference"/>
          <w:sz w:val="28"/>
          <w:szCs w:val="28"/>
          <w:lang w:val="en-GB"/>
        </w:rPr>
        <w:footnoteReference w:id="5"/>
      </w:r>
      <w:r w:rsidRPr="00FC5088">
        <w:rPr>
          <w:sz w:val="28"/>
          <w:szCs w:val="28"/>
          <w:lang w:val="vi-VN"/>
        </w:rPr>
        <w:t xml:space="preserve">, để tháo gỡ trách nhiệm cho cán bộ thuế trong trường hợp doanh nghiệp gian lận trong kê khai hoàn thuế GTGT, cung cấp </w:t>
      </w:r>
      <w:r w:rsidRPr="00FC5088">
        <w:rPr>
          <w:sz w:val="28"/>
          <w:szCs w:val="28"/>
          <w:lang w:val="vi-VN"/>
        </w:rPr>
        <w:lastRenderedPageBreak/>
        <w:t xml:space="preserve">thông tin không trung thực dẫn đến việc giải quyết hoàn thuế cho doanh nghiệp không đúng quy định; theo Báo cáo thuyết minh, việc triển khai hoá đơn điện tử không thể ngăn chặn được việc gian lận và cán bộ thuế không thể kiểm soát hết được dữ liệu. Nội dung này cũng đang được Chính phủ đề nghị đưa vào dự thảo Luật thuế GTGT (sửa đổi) sẽ được Quốc hội thông qua tại Kỳ họp thứ 8 và hiện đang có 2 phương án, một phương án quy định nội dung này trong Luật thuế GTGT (sửa đổi) và một phương án đề nghị quy định nội dung này trong Luật Quản lý thuế. Vì vậy,  Thường trực Uỷ ban TCNS đề nghị các cơ quan cùng thống nhất hướng xử lý đối với nội dung này sẽ đưa vào dự thảo Luật Quản lý thuế và </w:t>
      </w:r>
      <w:r w:rsidRPr="00FC5088">
        <w:rPr>
          <w:sz w:val="28"/>
          <w:szCs w:val="28"/>
        </w:rPr>
        <w:t>đưa</w:t>
      </w:r>
      <w:r w:rsidRPr="00FC5088">
        <w:rPr>
          <w:sz w:val="28"/>
          <w:szCs w:val="28"/>
          <w:lang w:val="vi-VN"/>
        </w:rPr>
        <w:t xml:space="preserve"> ra khỏi dự thảo Luật thuế GTGT để bảo đảm phù hợp với phạm vi điều chỉnh của Luật thuế GTGT. Đồng thời, đề nghị Chính phủ có các biện pháp bảo đảm hiệu quả của việc thực hiện hoá đơn điện tử trong quản lý thuế như mục tiêu đã đặt ra của các chương trình hiện đại hoá để không lãng phí nguồn lực thực hiện.</w:t>
      </w:r>
    </w:p>
    <w:p w14:paraId="1A395EB5" w14:textId="1249D61C" w:rsidR="00C8625F" w:rsidRPr="00FC5088" w:rsidRDefault="00C8625F" w:rsidP="00C8625F">
      <w:pPr>
        <w:widowControl w:val="0"/>
        <w:pBdr>
          <w:top w:val="dotted" w:sz="4" w:space="0" w:color="FFFFFF"/>
          <w:left w:val="dotted" w:sz="4" w:space="0" w:color="FFFFFF"/>
          <w:bottom w:val="dotted" w:sz="4" w:space="31" w:color="FFFFFF"/>
          <w:right w:val="dotted" w:sz="4" w:space="0" w:color="FFFFFF"/>
        </w:pBdr>
        <w:shd w:val="clear" w:color="auto" w:fill="FFFFFF"/>
        <w:spacing w:before="80" w:after="80" w:line="360" w:lineRule="exact"/>
        <w:ind w:firstLine="720"/>
        <w:jc w:val="both"/>
        <w:rPr>
          <w:b/>
          <w:spacing w:val="-4"/>
          <w:sz w:val="28"/>
          <w:szCs w:val="28"/>
        </w:rPr>
      </w:pPr>
      <w:r w:rsidRPr="00FC5088">
        <w:rPr>
          <w:sz w:val="28"/>
          <w:szCs w:val="28"/>
          <w:lang w:val="vi-VN"/>
        </w:rPr>
        <w:t xml:space="preserve">Ngoài ra, tương tự </w:t>
      </w:r>
      <w:r w:rsidRPr="00FC5088">
        <w:rPr>
          <w:sz w:val="28"/>
          <w:szCs w:val="28"/>
        </w:rPr>
        <w:t>nội dung trên</w:t>
      </w:r>
      <w:r w:rsidRPr="00FC5088">
        <w:rPr>
          <w:sz w:val="28"/>
          <w:szCs w:val="28"/>
          <w:lang w:val="vi-VN"/>
        </w:rPr>
        <w:t xml:space="preserve">, </w:t>
      </w:r>
      <w:r w:rsidRPr="00FC5088">
        <w:rPr>
          <w:sz w:val="28"/>
          <w:szCs w:val="28"/>
          <w:lang w:val="en-GB"/>
        </w:rPr>
        <w:t xml:space="preserve">nội dung liên quan đến </w:t>
      </w:r>
      <w:r w:rsidRPr="00FC5088">
        <w:rPr>
          <w:i/>
          <w:iCs/>
          <w:sz w:val="28"/>
          <w:szCs w:val="28"/>
          <w:lang w:val="en-GB"/>
        </w:rPr>
        <w:t xml:space="preserve">các </w:t>
      </w:r>
      <w:r w:rsidRPr="00FC5088">
        <w:rPr>
          <w:i/>
          <w:iCs/>
          <w:sz w:val="28"/>
          <w:szCs w:val="28"/>
          <w:u w:val="single"/>
          <w:lang w:val="en-GB"/>
        </w:rPr>
        <w:t>hành vi bị nghiêm cấm</w:t>
      </w:r>
      <w:r w:rsidRPr="00FC5088">
        <w:rPr>
          <w:sz w:val="28"/>
          <w:szCs w:val="28"/>
          <w:lang w:val="vi-VN"/>
        </w:rPr>
        <w:t xml:space="preserve"> đang được </w:t>
      </w:r>
      <w:r w:rsidRPr="00FC5088">
        <w:rPr>
          <w:sz w:val="28"/>
          <w:szCs w:val="28"/>
        </w:rPr>
        <w:t>quy định tại</w:t>
      </w:r>
      <w:r w:rsidRPr="00FC5088">
        <w:rPr>
          <w:sz w:val="28"/>
          <w:szCs w:val="28"/>
          <w:lang w:val="vi-VN"/>
        </w:rPr>
        <w:t xml:space="preserve"> Luật thuế GTGT theo 2 hướng: (i) quy định nội dung này trong Luật </w:t>
      </w:r>
      <w:r w:rsidRPr="00FC5088">
        <w:rPr>
          <w:sz w:val="28"/>
          <w:szCs w:val="28"/>
          <w:lang w:val="en-GB"/>
        </w:rPr>
        <w:t xml:space="preserve">Thuế </w:t>
      </w:r>
      <w:r w:rsidRPr="00FC5088">
        <w:rPr>
          <w:sz w:val="28"/>
          <w:szCs w:val="28"/>
          <w:lang w:val="vi-VN"/>
        </w:rPr>
        <w:t xml:space="preserve">GTGT (sửa đổi) như đề xuất của Chính phủ; </w:t>
      </w:r>
      <w:r w:rsidRPr="00FC5088">
        <w:rPr>
          <w:sz w:val="28"/>
          <w:szCs w:val="28"/>
          <w:lang w:val="en-GB"/>
        </w:rPr>
        <w:t>hoặc</w:t>
      </w:r>
      <w:r w:rsidRPr="00FC5088">
        <w:rPr>
          <w:sz w:val="28"/>
          <w:szCs w:val="28"/>
          <w:lang w:val="vi-VN"/>
        </w:rPr>
        <w:t xml:space="preserve"> (ii) quy định nội dung này trong Luật Quản lý thuế như đa số ý kiến trong Thường trực uỷ ban TCNS. Dự thảo Luật thuế GTGT đã được 2 cơ quan thống nhất chỉnh lý lại để quy định rõ đây là các </w:t>
      </w:r>
      <w:r w:rsidRPr="00FC5088">
        <w:rPr>
          <w:i/>
          <w:iCs/>
          <w:sz w:val="28"/>
          <w:szCs w:val="28"/>
          <w:u w:val="single"/>
          <w:lang w:val="en-GB"/>
        </w:rPr>
        <w:t xml:space="preserve">hành vi bị nghiêm cấm trong </w:t>
      </w:r>
      <w:r w:rsidRPr="00FC5088">
        <w:rPr>
          <w:b/>
          <w:bCs/>
          <w:i/>
          <w:iCs/>
          <w:sz w:val="28"/>
          <w:szCs w:val="28"/>
          <w:u w:val="single"/>
          <w:lang w:val="en-GB"/>
        </w:rPr>
        <w:t>khấu trừ, hoàn thuế</w:t>
      </w:r>
      <w:r w:rsidRPr="00FC5088">
        <w:rPr>
          <w:b/>
          <w:bCs/>
          <w:i/>
          <w:iCs/>
          <w:sz w:val="28"/>
          <w:szCs w:val="28"/>
          <w:u w:val="single"/>
          <w:lang w:val="vi-VN"/>
        </w:rPr>
        <w:t xml:space="preserve"> GTGT</w:t>
      </w:r>
      <w:r w:rsidRPr="00FC5088">
        <w:rPr>
          <w:sz w:val="28"/>
          <w:szCs w:val="28"/>
          <w:lang w:val="en-GB"/>
        </w:rPr>
        <w:t>.</w:t>
      </w:r>
      <w:r w:rsidRPr="00FC5088">
        <w:rPr>
          <w:sz w:val="28"/>
          <w:szCs w:val="28"/>
          <w:lang w:val="vi-VN"/>
        </w:rPr>
        <w:t xml:space="preserve"> Để có thể sớm hoàn thiện các nội dung dự thảo của 2 luật, đề nghị thống nhất phương án giải quyết vấn đề này theo hướng sẽ quy định </w:t>
      </w:r>
      <w:r w:rsidRPr="00FC5088">
        <w:rPr>
          <w:sz w:val="28"/>
          <w:szCs w:val="28"/>
          <w:lang w:val="en-GB"/>
        </w:rPr>
        <w:t xml:space="preserve">trong Luật </w:t>
      </w:r>
      <w:r w:rsidRPr="00FC5088">
        <w:rPr>
          <w:sz w:val="28"/>
          <w:szCs w:val="28"/>
          <w:lang w:val="vi-VN"/>
        </w:rPr>
        <w:t>Thuế GTGT</w:t>
      </w:r>
      <w:r w:rsidRPr="00FC5088">
        <w:rPr>
          <w:sz w:val="28"/>
          <w:szCs w:val="28"/>
          <w:lang w:val="en-GB"/>
        </w:rPr>
        <w:t>.</w:t>
      </w:r>
      <w:r w:rsidRPr="00FC5088">
        <w:rPr>
          <w:sz w:val="28"/>
          <w:szCs w:val="28"/>
          <w:lang w:val="vi-VN"/>
        </w:rPr>
        <w:t xml:space="preserve"> Điều này là cũng phù hợp về phạm vi của Luật thuế GTGT vì đây là các hành vi bị cấm trong </w:t>
      </w:r>
      <w:r w:rsidRPr="00FC5088">
        <w:rPr>
          <w:i/>
          <w:iCs/>
          <w:sz w:val="28"/>
          <w:szCs w:val="28"/>
          <w:lang w:val="en-GB"/>
        </w:rPr>
        <w:t>khấu trừ, hoàn thuế</w:t>
      </w:r>
      <w:r w:rsidRPr="00FC5088">
        <w:rPr>
          <w:i/>
          <w:iCs/>
          <w:sz w:val="28"/>
          <w:szCs w:val="28"/>
          <w:lang w:val="vi-VN"/>
        </w:rPr>
        <w:t xml:space="preserve"> GTGT.</w:t>
      </w:r>
    </w:p>
    <w:p w14:paraId="4C25A6EC" w14:textId="77777777" w:rsidR="00C8625F" w:rsidRPr="00FC5088" w:rsidRDefault="00C8625F" w:rsidP="00C8625F">
      <w:pPr>
        <w:widowControl w:val="0"/>
        <w:pBdr>
          <w:top w:val="dotted" w:sz="4" w:space="0" w:color="FFFFFF"/>
          <w:left w:val="dotted" w:sz="4" w:space="0" w:color="FFFFFF"/>
          <w:bottom w:val="dotted" w:sz="4" w:space="31" w:color="FFFFFF"/>
          <w:right w:val="dotted" w:sz="4" w:space="0" w:color="FFFFFF"/>
        </w:pBdr>
        <w:shd w:val="clear" w:color="auto" w:fill="FFFFFF"/>
        <w:spacing w:before="80" w:after="80" w:line="360" w:lineRule="exact"/>
        <w:ind w:firstLine="720"/>
        <w:jc w:val="both"/>
        <w:rPr>
          <w:sz w:val="28"/>
          <w:szCs w:val="28"/>
        </w:rPr>
      </w:pPr>
      <w:r w:rsidRPr="00FC5088">
        <w:rPr>
          <w:sz w:val="28"/>
          <w:szCs w:val="28"/>
        </w:rPr>
        <w:t xml:space="preserve">Thường trực Ủy ban TCNS thống nhất với sự cần thiết của việc phải đẩy mạnh công tác hiện đại hóa trong quản lý thuế và NSNN cần bố trí nguồn lực thực hiện. Tuy nhiên, theo Kết luận số 83-KL/TW ngày 21/6/2024 của Bộ Chính trị và Nghị quyết 142/2024/QH15 thì các cơ chế tài chính đặc thù cần được rà soát lại để bãi bỏ hoặc sửa đổi phù hợp. Do đó, việc quy định tỷ lệ phần trăm của dự toán thu NSNN hằng năm dành cho một số nhiệm vụ trong Luật Quản lý thuế là chưa thật phù hợp với tinh thần các văn bản này. </w:t>
      </w:r>
    </w:p>
    <w:p w14:paraId="4C71CFC2" w14:textId="317AAA28" w:rsidR="00DF507B" w:rsidRPr="00FC5088" w:rsidRDefault="007261E8" w:rsidP="007844E0">
      <w:pPr>
        <w:widowControl w:val="0"/>
        <w:pBdr>
          <w:top w:val="dotted" w:sz="4" w:space="0" w:color="FFFFFF"/>
          <w:left w:val="dotted" w:sz="4" w:space="0" w:color="FFFFFF"/>
          <w:bottom w:val="dotted" w:sz="4" w:space="31" w:color="FFFFFF"/>
          <w:right w:val="dotted" w:sz="4" w:space="0" w:color="FFFFFF"/>
        </w:pBdr>
        <w:shd w:val="clear" w:color="auto" w:fill="FFFFFF"/>
        <w:spacing w:before="80" w:after="80" w:line="360" w:lineRule="exact"/>
        <w:ind w:firstLine="720"/>
        <w:jc w:val="both"/>
        <w:rPr>
          <w:b/>
          <w:spacing w:val="-4"/>
          <w:sz w:val="28"/>
          <w:szCs w:val="28"/>
        </w:rPr>
      </w:pPr>
      <w:r w:rsidRPr="00FC5088">
        <w:rPr>
          <w:b/>
          <w:spacing w:val="-4"/>
          <w:sz w:val="28"/>
          <w:szCs w:val="28"/>
        </w:rPr>
        <w:t>7</w:t>
      </w:r>
      <w:r w:rsidR="00DF507B" w:rsidRPr="00FC5088">
        <w:rPr>
          <w:b/>
          <w:spacing w:val="-4"/>
          <w:sz w:val="28"/>
          <w:szCs w:val="28"/>
        </w:rPr>
        <w:t xml:space="preserve">. Về sửa đổi, bổ sung một số điều của Luật Dự trữ quốc </w:t>
      </w:r>
      <w:r w:rsidR="00C8625F" w:rsidRPr="00FC5088">
        <w:rPr>
          <w:b/>
          <w:spacing w:val="-4"/>
          <w:sz w:val="28"/>
          <w:szCs w:val="28"/>
        </w:rPr>
        <w:t>gia</w:t>
      </w:r>
    </w:p>
    <w:p w14:paraId="0C345889" w14:textId="308E7B82" w:rsidR="003B0810" w:rsidRPr="00FC5088" w:rsidRDefault="003B0810" w:rsidP="007844E0">
      <w:pPr>
        <w:widowControl w:val="0"/>
        <w:pBdr>
          <w:top w:val="dotted" w:sz="4" w:space="0" w:color="FFFFFF"/>
          <w:left w:val="dotted" w:sz="4" w:space="0" w:color="FFFFFF"/>
          <w:bottom w:val="dotted" w:sz="4" w:space="31" w:color="FFFFFF"/>
          <w:right w:val="dotted" w:sz="4" w:space="0" w:color="FFFFFF"/>
        </w:pBdr>
        <w:shd w:val="clear" w:color="auto" w:fill="FFFFFF"/>
        <w:spacing w:before="80" w:after="80" w:line="360" w:lineRule="exact"/>
        <w:ind w:firstLine="720"/>
        <w:jc w:val="both"/>
        <w:rPr>
          <w:iCs/>
          <w:spacing w:val="-2"/>
          <w:sz w:val="28"/>
          <w:szCs w:val="28"/>
        </w:rPr>
      </w:pPr>
      <w:r w:rsidRPr="00FC5088">
        <w:rPr>
          <w:i/>
          <w:spacing w:val="-2"/>
          <w:sz w:val="28"/>
          <w:szCs w:val="28"/>
        </w:rPr>
        <w:t>- Bãi bỏ điểm b khoản 2 Điều 12, điểm d khoản 1 Điều 13 và bổ sung điểm d vào sau điểm c khoản 2 Điều 13 Luật Dự trữ quốc gia thay đổi thẩm quyền quyết định NSTW mua bù hàng dự trữ quốc gia đã xuất cấp:</w:t>
      </w:r>
      <w:r w:rsidRPr="00FC5088">
        <w:rPr>
          <w:b/>
          <w:spacing w:val="-2"/>
          <w:sz w:val="28"/>
          <w:szCs w:val="28"/>
        </w:rPr>
        <w:t xml:space="preserve"> </w:t>
      </w:r>
      <w:r w:rsidRPr="00FC5088">
        <w:rPr>
          <w:bCs/>
          <w:spacing w:val="-2"/>
          <w:sz w:val="28"/>
          <w:szCs w:val="28"/>
        </w:rPr>
        <w:t>Thường trực Ủy ban TCNS cơ bản nhất trí với quy định tại Dự thảo</w:t>
      </w:r>
      <w:r w:rsidRPr="00FC5088">
        <w:rPr>
          <w:b/>
          <w:spacing w:val="-2"/>
          <w:sz w:val="28"/>
          <w:szCs w:val="28"/>
        </w:rPr>
        <w:t xml:space="preserve"> </w:t>
      </w:r>
      <w:r w:rsidRPr="00FC5088">
        <w:rPr>
          <w:spacing w:val="-2"/>
          <w:sz w:val="28"/>
          <w:szCs w:val="28"/>
        </w:rPr>
        <w:t xml:space="preserve">luật theo đó </w:t>
      </w:r>
      <w:r w:rsidRPr="00FC5088">
        <w:rPr>
          <w:bCs/>
          <w:spacing w:val="-2"/>
          <w:sz w:val="28"/>
          <w:szCs w:val="28"/>
        </w:rPr>
        <w:t xml:space="preserve">bổ sung thẩm quyền Thủ tướng Chính phủ quyết định NSTW mua bù hàng dự trữ quốc gia </w:t>
      </w:r>
      <w:r w:rsidRPr="00FC5088">
        <w:rPr>
          <w:iCs/>
          <w:spacing w:val="-2"/>
          <w:sz w:val="28"/>
          <w:szCs w:val="28"/>
        </w:rPr>
        <w:t>từ nguồn dự phòng NSTW.</w:t>
      </w:r>
    </w:p>
    <w:p w14:paraId="50E14315" w14:textId="2393E6BA" w:rsidR="003B0810" w:rsidRPr="00FC5088" w:rsidRDefault="003B0810" w:rsidP="007844E0">
      <w:pPr>
        <w:widowControl w:val="0"/>
        <w:pBdr>
          <w:top w:val="dotted" w:sz="4" w:space="0" w:color="FFFFFF"/>
          <w:left w:val="dotted" w:sz="4" w:space="0" w:color="FFFFFF"/>
          <w:bottom w:val="dotted" w:sz="4" w:space="31" w:color="FFFFFF"/>
          <w:right w:val="dotted" w:sz="4" w:space="0" w:color="FFFFFF"/>
        </w:pBdr>
        <w:shd w:val="clear" w:color="auto" w:fill="FFFFFF"/>
        <w:spacing w:before="80" w:after="80" w:line="360" w:lineRule="exact"/>
        <w:ind w:firstLine="720"/>
        <w:jc w:val="both"/>
        <w:rPr>
          <w:spacing w:val="-2"/>
          <w:sz w:val="28"/>
          <w:szCs w:val="28"/>
        </w:rPr>
      </w:pPr>
      <w:r w:rsidRPr="00FC5088">
        <w:rPr>
          <w:i/>
          <w:spacing w:val="-2"/>
          <w:sz w:val="28"/>
          <w:szCs w:val="28"/>
        </w:rPr>
        <w:t>- Về sửa đổi, bổ sung một số điểm của khoản 1, khoản 2 Điều 35 Luật Dự trữ quốc gia về đề nghị bổ sung quy định cho phép xuất hàng DTQG để phục vụ hoạt động đối ngoại của Đảng và Nhà nước, làm quà tặng đối ngoại:</w:t>
      </w:r>
      <w:r w:rsidRPr="00FC5088">
        <w:rPr>
          <w:b/>
          <w:spacing w:val="-2"/>
          <w:sz w:val="28"/>
          <w:szCs w:val="28"/>
        </w:rPr>
        <w:t xml:space="preserve"> </w:t>
      </w:r>
      <w:r w:rsidRPr="00FC5088">
        <w:rPr>
          <w:spacing w:val="-2"/>
          <w:sz w:val="28"/>
          <w:szCs w:val="28"/>
        </w:rPr>
        <w:t xml:space="preserve">Thường trực Ủy ban TCNS </w:t>
      </w:r>
      <w:r w:rsidRPr="00FC5088">
        <w:rPr>
          <w:spacing w:val="-2"/>
          <w:sz w:val="28"/>
          <w:szCs w:val="28"/>
        </w:rPr>
        <w:lastRenderedPageBreak/>
        <w:t xml:space="preserve">đồng ý bổ sung trường hợp bổ sung quy định về việc cho phép xuất hàng DTQG để phục vụ hoạt động đối ngoại của Đảng và Nhà nước vào Luật Dự trữ quốc gia; đồng thời đề nghị bổ sung: </w:t>
      </w:r>
      <w:r w:rsidRPr="00FC5088">
        <w:rPr>
          <w:b/>
          <w:bCs/>
          <w:i/>
          <w:iCs/>
          <w:spacing w:val="-2"/>
          <w:sz w:val="28"/>
          <w:szCs w:val="28"/>
        </w:rPr>
        <w:t>“hoạt động đối ngoại của Đảng và Nhà nước”</w:t>
      </w:r>
      <w:r w:rsidRPr="00FC5088">
        <w:rPr>
          <w:spacing w:val="-2"/>
          <w:sz w:val="28"/>
          <w:szCs w:val="28"/>
        </w:rPr>
        <w:t xml:space="preserve"> vào Điều 3 của Luật DTQG để bảo đảm tính thống nhất giữa các điều khoản trong cùng một đạo luật.</w:t>
      </w:r>
    </w:p>
    <w:p w14:paraId="4FEAABF8" w14:textId="7AE03C37" w:rsidR="003C0B9E" w:rsidRPr="00FC5088" w:rsidRDefault="005706D5" w:rsidP="007844E0">
      <w:pPr>
        <w:widowControl w:val="0"/>
        <w:pBdr>
          <w:top w:val="dotted" w:sz="4" w:space="0" w:color="FFFFFF"/>
          <w:left w:val="dotted" w:sz="4" w:space="0" w:color="FFFFFF"/>
          <w:bottom w:val="dotted" w:sz="4" w:space="31" w:color="FFFFFF"/>
          <w:right w:val="dotted" w:sz="4" w:space="0" w:color="FFFFFF"/>
        </w:pBdr>
        <w:shd w:val="clear" w:color="auto" w:fill="FFFFFF"/>
        <w:spacing w:before="80" w:after="80" w:line="360" w:lineRule="exact"/>
        <w:ind w:firstLine="720"/>
        <w:jc w:val="both"/>
        <w:rPr>
          <w:sz w:val="28"/>
          <w:szCs w:val="28"/>
        </w:rPr>
      </w:pPr>
      <w:r w:rsidRPr="00FC5088">
        <w:rPr>
          <w:bCs/>
          <w:sz w:val="28"/>
          <w:szCs w:val="28"/>
        </w:rPr>
        <w:t xml:space="preserve">Trên đây là </w:t>
      </w:r>
      <w:r w:rsidR="001C556F" w:rsidRPr="00FC5088">
        <w:rPr>
          <w:bCs/>
          <w:sz w:val="28"/>
          <w:szCs w:val="28"/>
        </w:rPr>
        <w:t>Báo cáo</w:t>
      </w:r>
      <w:r w:rsidR="004D2EBF" w:rsidRPr="00FC5088">
        <w:rPr>
          <w:bCs/>
          <w:sz w:val="28"/>
          <w:szCs w:val="28"/>
        </w:rPr>
        <w:t xml:space="preserve"> tóm tắ</w:t>
      </w:r>
      <w:r w:rsidR="00D93EA8" w:rsidRPr="00FC5088">
        <w:rPr>
          <w:bCs/>
          <w:sz w:val="28"/>
          <w:szCs w:val="28"/>
        </w:rPr>
        <w:t>t</w:t>
      </w:r>
      <w:r w:rsidR="001C556F" w:rsidRPr="00FC5088">
        <w:rPr>
          <w:bCs/>
          <w:sz w:val="28"/>
          <w:szCs w:val="28"/>
        </w:rPr>
        <w:t xml:space="preserve"> </w:t>
      </w:r>
      <w:r w:rsidRPr="00FC5088">
        <w:rPr>
          <w:bCs/>
          <w:sz w:val="28"/>
          <w:szCs w:val="28"/>
        </w:rPr>
        <w:t>thẩm tra</w:t>
      </w:r>
      <w:r w:rsidR="00C46B3C" w:rsidRPr="00FC5088">
        <w:rPr>
          <w:bCs/>
          <w:sz w:val="28"/>
          <w:szCs w:val="28"/>
        </w:rPr>
        <w:t xml:space="preserve"> sơ bộ</w:t>
      </w:r>
      <w:r w:rsidRPr="00FC5088">
        <w:rPr>
          <w:bCs/>
          <w:sz w:val="28"/>
          <w:szCs w:val="28"/>
        </w:rPr>
        <w:t xml:space="preserve"> </w:t>
      </w:r>
      <w:r w:rsidR="008B7671" w:rsidRPr="00FC5088">
        <w:rPr>
          <w:sz w:val="28"/>
          <w:szCs w:val="28"/>
        </w:rPr>
        <w:t>Dự án Luật</w:t>
      </w:r>
      <w:r w:rsidR="00C40BB6" w:rsidRPr="00FC5088">
        <w:rPr>
          <w:sz w:val="28"/>
          <w:szCs w:val="28"/>
        </w:rPr>
        <w:t xml:space="preserve">, </w:t>
      </w:r>
      <w:r w:rsidR="008B7671" w:rsidRPr="00FC5088">
        <w:rPr>
          <w:sz w:val="28"/>
          <w:szCs w:val="28"/>
          <w:lang w:val="nl-NL"/>
        </w:rPr>
        <w:t>Thường trực Uỷ ban TCNS</w:t>
      </w:r>
      <w:r w:rsidR="00241AC8" w:rsidRPr="00FC5088">
        <w:rPr>
          <w:bCs/>
          <w:sz w:val="28"/>
          <w:szCs w:val="28"/>
        </w:rPr>
        <w:t xml:space="preserve"> </w:t>
      </w:r>
      <w:r w:rsidR="00BD0169" w:rsidRPr="00FC5088">
        <w:rPr>
          <w:bCs/>
          <w:sz w:val="28"/>
          <w:szCs w:val="28"/>
        </w:rPr>
        <w:t xml:space="preserve">trân trọng </w:t>
      </w:r>
      <w:r w:rsidR="00AD0C93" w:rsidRPr="00FC5088">
        <w:rPr>
          <w:spacing w:val="-4"/>
          <w:sz w:val="28"/>
          <w:szCs w:val="28"/>
        </w:rPr>
        <w:t>báo cáo</w:t>
      </w:r>
      <w:r w:rsidRPr="00FC5088">
        <w:rPr>
          <w:spacing w:val="-4"/>
          <w:sz w:val="28"/>
          <w:szCs w:val="28"/>
        </w:rPr>
        <w:t xml:space="preserve"> Ủy ban Thường vụ Quốc hội</w:t>
      </w:r>
      <w:r w:rsidR="003B0810" w:rsidRPr="00FC5088">
        <w:rPr>
          <w:spacing w:val="-4"/>
          <w:sz w:val="28"/>
          <w:szCs w:val="28"/>
        </w:rPr>
        <w:t xml:space="preserve"> xem xét, cho ý kiến</w:t>
      </w:r>
      <w:r w:rsidR="00BD0169" w:rsidRPr="00FC5088">
        <w:rPr>
          <w:spacing w:val="-4"/>
          <w:sz w:val="28"/>
          <w:szCs w:val="28"/>
        </w:rPr>
        <w:t>.</w:t>
      </w:r>
      <w:r w:rsidR="00BD0169" w:rsidRPr="00FC5088">
        <w:rPr>
          <w:sz w:val="28"/>
          <w:szCs w:val="28"/>
        </w:rPr>
        <w:t>/</w:t>
      </w:r>
      <w:r w:rsidR="00C526AC" w:rsidRPr="00FC5088">
        <w:rPr>
          <w:sz w:val="28"/>
          <w:szCs w:val="28"/>
        </w:rPr>
        <w:t>.</w:t>
      </w:r>
    </w:p>
    <w:p w14:paraId="4C3FB57F" w14:textId="7C073F04" w:rsidR="00FF7FEA" w:rsidRPr="00FC5088" w:rsidRDefault="00FF7FEA" w:rsidP="00FF7FEA">
      <w:pPr>
        <w:widowControl w:val="0"/>
        <w:pBdr>
          <w:top w:val="dotted" w:sz="4" w:space="0" w:color="FFFFFF"/>
          <w:left w:val="dotted" w:sz="4" w:space="0" w:color="FFFFFF"/>
          <w:bottom w:val="dotted" w:sz="4" w:space="31" w:color="FFFFFF"/>
          <w:right w:val="dotted" w:sz="4" w:space="0" w:color="FFFFFF"/>
        </w:pBdr>
        <w:shd w:val="clear" w:color="auto" w:fill="FFFFFF"/>
        <w:spacing w:before="120" w:line="360" w:lineRule="exact"/>
        <w:ind w:firstLine="720"/>
        <w:jc w:val="right"/>
        <w:rPr>
          <w:sz w:val="28"/>
          <w:szCs w:val="28"/>
        </w:rPr>
      </w:pPr>
      <w:r w:rsidRPr="00FC5088">
        <w:rPr>
          <w:b/>
          <w:sz w:val="26"/>
          <w:szCs w:val="26"/>
        </w:rPr>
        <w:t>ỦY BAN TÀI CHÍNH, NGÂN SÁCH</w:t>
      </w:r>
    </w:p>
    <w:p w14:paraId="15393EED" w14:textId="77777777" w:rsidR="008B7671" w:rsidRPr="00FC5088" w:rsidRDefault="008B7671" w:rsidP="00AE49F4">
      <w:pPr>
        <w:widowControl w:val="0"/>
        <w:pBdr>
          <w:top w:val="dotted" w:sz="4" w:space="0" w:color="FFFFFF"/>
          <w:left w:val="dotted" w:sz="4" w:space="0" w:color="FFFFFF"/>
          <w:bottom w:val="dotted" w:sz="4" w:space="14" w:color="FFFFFF"/>
          <w:right w:val="dotted" w:sz="4" w:space="0" w:color="FFFFFF"/>
        </w:pBdr>
        <w:shd w:val="clear" w:color="auto" w:fill="FFFFFF"/>
        <w:spacing w:line="340" w:lineRule="exact"/>
        <w:ind w:firstLine="567"/>
        <w:jc w:val="both"/>
        <w:rPr>
          <w:sz w:val="28"/>
          <w:szCs w:val="28"/>
        </w:rPr>
      </w:pPr>
    </w:p>
    <w:tbl>
      <w:tblPr>
        <w:tblW w:w="9072" w:type="dxa"/>
        <w:tblInd w:w="108" w:type="dxa"/>
        <w:tblLook w:val="01E0" w:firstRow="1" w:lastRow="1" w:firstColumn="1" w:lastColumn="1" w:noHBand="0" w:noVBand="0"/>
      </w:tblPr>
      <w:tblGrid>
        <w:gridCol w:w="4395"/>
        <w:gridCol w:w="4677"/>
      </w:tblGrid>
      <w:tr w:rsidR="00BD0169" w:rsidRPr="00FC5088" w14:paraId="303F1A09" w14:textId="77777777" w:rsidTr="00AE49F4">
        <w:tc>
          <w:tcPr>
            <w:tcW w:w="4395" w:type="dxa"/>
          </w:tcPr>
          <w:p w14:paraId="0175285F" w14:textId="7AEC031B" w:rsidR="00BD0169" w:rsidRPr="00FC5088" w:rsidRDefault="00BD0169" w:rsidP="003D4989">
            <w:pPr>
              <w:rPr>
                <w:lang w:val="vi-VN"/>
              </w:rPr>
            </w:pPr>
            <w:r w:rsidRPr="00FC5088">
              <w:rPr>
                <w:sz w:val="22"/>
                <w:szCs w:val="22"/>
              </w:rPr>
              <w:t xml:space="preserve"> </w:t>
            </w:r>
          </w:p>
        </w:tc>
        <w:tc>
          <w:tcPr>
            <w:tcW w:w="4677" w:type="dxa"/>
          </w:tcPr>
          <w:p w14:paraId="38A86BDF" w14:textId="088440B0" w:rsidR="00BD0169" w:rsidRPr="00FC5088" w:rsidRDefault="00BD0169" w:rsidP="008B7671">
            <w:pPr>
              <w:rPr>
                <w:b/>
                <w:szCs w:val="28"/>
              </w:rPr>
            </w:pPr>
          </w:p>
        </w:tc>
      </w:tr>
    </w:tbl>
    <w:p w14:paraId="6E88D4DC" w14:textId="77777777" w:rsidR="00FD272E" w:rsidRPr="00FC5088" w:rsidRDefault="00FD272E" w:rsidP="0071441F">
      <w:pPr>
        <w:jc w:val="center"/>
        <w:rPr>
          <w:b/>
          <w:bCs/>
        </w:rPr>
      </w:pPr>
    </w:p>
    <w:p w14:paraId="4A9BD060" w14:textId="77777777" w:rsidR="00FD272E" w:rsidRPr="00FC5088" w:rsidRDefault="00FD272E" w:rsidP="0071441F">
      <w:pPr>
        <w:jc w:val="center"/>
        <w:rPr>
          <w:b/>
          <w:bCs/>
        </w:rPr>
      </w:pPr>
    </w:p>
    <w:p w14:paraId="4DABFDFC" w14:textId="77777777" w:rsidR="00502B1E" w:rsidRPr="00FC5088" w:rsidRDefault="00502B1E">
      <w:pPr>
        <w:ind w:left="644"/>
        <w:jc w:val="both"/>
      </w:pPr>
      <w:bookmarkStart w:id="5" w:name="_GoBack"/>
      <w:bookmarkEnd w:id="5"/>
    </w:p>
    <w:sectPr w:rsidR="00502B1E" w:rsidRPr="00FC5088" w:rsidSect="00250D20">
      <w:headerReference w:type="default" r:id="rId12"/>
      <w:footerReference w:type="default" r:id="rId13"/>
      <w:pgSz w:w="11909" w:h="16834" w:code="9"/>
      <w:pgMar w:top="1134" w:right="964" w:bottom="1134" w:left="153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9E38D" w14:textId="77777777" w:rsidR="00376917" w:rsidRDefault="00376917" w:rsidP="00BD0169">
      <w:r>
        <w:separator/>
      </w:r>
    </w:p>
  </w:endnote>
  <w:endnote w:type="continuationSeparator" w:id="0">
    <w:p w14:paraId="06C18A9D" w14:textId="77777777" w:rsidR="00376917" w:rsidRDefault="00376917" w:rsidP="00BD0169">
      <w:r>
        <w:continuationSeparator/>
      </w:r>
    </w:p>
  </w:endnote>
  <w:endnote w:type="continuationNotice" w:id="1">
    <w:p w14:paraId="7F97556E" w14:textId="77777777" w:rsidR="00376917" w:rsidRDefault="003769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05381" w14:textId="77777777" w:rsidR="005D2B2E" w:rsidRDefault="005D2B2E">
    <w:pPr>
      <w:pStyle w:val="Footer"/>
      <w:jc w:val="center"/>
    </w:pPr>
  </w:p>
  <w:p w14:paraId="3CE06A16" w14:textId="77777777" w:rsidR="005D2B2E" w:rsidRDefault="005D2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C2355" w14:textId="77777777" w:rsidR="00376917" w:rsidRDefault="00376917" w:rsidP="00BD0169">
      <w:r>
        <w:separator/>
      </w:r>
    </w:p>
  </w:footnote>
  <w:footnote w:type="continuationSeparator" w:id="0">
    <w:p w14:paraId="7FE79CBC" w14:textId="77777777" w:rsidR="00376917" w:rsidRDefault="00376917" w:rsidP="00BD0169">
      <w:r>
        <w:continuationSeparator/>
      </w:r>
    </w:p>
  </w:footnote>
  <w:footnote w:type="continuationNotice" w:id="1">
    <w:p w14:paraId="669C617C" w14:textId="77777777" w:rsidR="00376917" w:rsidRDefault="00376917"/>
  </w:footnote>
  <w:footnote w:id="2">
    <w:p w14:paraId="2061C725" w14:textId="77777777" w:rsidR="006D00CB" w:rsidRPr="000B5984" w:rsidRDefault="006D00CB" w:rsidP="006D00CB">
      <w:pPr>
        <w:pStyle w:val="FootnoteText"/>
        <w:jc w:val="both"/>
      </w:pPr>
      <w:r w:rsidRPr="000B5984">
        <w:rPr>
          <w:rStyle w:val="FootnoteReference"/>
        </w:rPr>
        <w:footnoteRef/>
      </w:r>
      <w:r w:rsidRPr="000B5984">
        <w:t xml:space="preserve"> Khoản 2 Điều 56; khoản 2 Điều 57; khoản 2 Điều 58</w:t>
      </w:r>
    </w:p>
  </w:footnote>
  <w:footnote w:id="3">
    <w:p w14:paraId="62219767" w14:textId="77777777" w:rsidR="006D00CB" w:rsidRPr="006A21FE" w:rsidRDefault="006D00CB" w:rsidP="006D00CB">
      <w:pPr>
        <w:pStyle w:val="FootnoteText"/>
        <w:jc w:val="both"/>
        <w:rPr>
          <w:lang w:val="en-SG"/>
        </w:rPr>
      </w:pPr>
      <w:r w:rsidRPr="00CE5C05">
        <w:rPr>
          <w:rStyle w:val="FootnoteReference"/>
        </w:rPr>
        <w:footnoteRef/>
      </w:r>
      <w:r w:rsidRPr="00CE5C05">
        <w:t xml:space="preserve"> </w:t>
      </w:r>
      <w:r w:rsidRPr="000B5984">
        <w:rPr>
          <w:lang w:val="vi-VN"/>
        </w:rPr>
        <w:t xml:space="preserve">như: Quy trình phê duyệt </w:t>
      </w:r>
      <w:r w:rsidRPr="000B5984">
        <w:rPr>
          <w:lang w:val="en-SG"/>
        </w:rPr>
        <w:t xml:space="preserve">Đề án </w:t>
      </w:r>
      <w:r w:rsidRPr="000B5984">
        <w:rPr>
          <w:lang w:val="vi-VN"/>
        </w:rPr>
        <w:t>sử dụng tài sản công vào mục đích kinh doanh, cho thuê, liên doanh, liên kết</w:t>
      </w:r>
      <w:r w:rsidRPr="000B5984">
        <w:rPr>
          <w:lang w:val="en-SG"/>
        </w:rPr>
        <w:t xml:space="preserve"> kéo dài do thẩm quyền phê duyệt Đề án đối với toàn bộ đơn vị sự nghiệp công lập của cấp tỉnh đều là Chủ tịch UBND tỉnh quyết định.</w:t>
      </w:r>
    </w:p>
  </w:footnote>
  <w:footnote w:id="4">
    <w:p w14:paraId="2CC5E264" w14:textId="77777777" w:rsidR="006D00CB" w:rsidRPr="000B5984" w:rsidRDefault="006D00CB" w:rsidP="006D00CB">
      <w:pPr>
        <w:pStyle w:val="FootnoteText"/>
        <w:jc w:val="both"/>
      </w:pPr>
      <w:r w:rsidRPr="000B5984">
        <w:rPr>
          <w:rStyle w:val="FootnoteReference"/>
        </w:rPr>
        <w:footnoteRef/>
      </w:r>
      <w:r w:rsidRPr="000B5984">
        <w:t xml:space="preserve"> Luật Đất đai năm 2024 quy định về chế độ quản lý và sử dụng đất đai; Luật Tài nguyên nước năm 2023 quy định về quản lý, khai thác, sử dụng tài nguyên nước; Luật Lâm nghiệp năm 2017;....</w:t>
      </w:r>
    </w:p>
  </w:footnote>
  <w:footnote w:id="5">
    <w:p w14:paraId="6012861A" w14:textId="77777777" w:rsidR="00C8625F" w:rsidRPr="002F7106" w:rsidRDefault="00C8625F" w:rsidP="00C8625F">
      <w:pPr>
        <w:pStyle w:val="FootnoteText"/>
        <w:spacing w:line="288" w:lineRule="auto"/>
        <w:jc w:val="both"/>
        <w:rPr>
          <w:lang w:val="vi-VN"/>
        </w:rPr>
      </w:pPr>
      <w:r w:rsidRPr="002F7106">
        <w:rPr>
          <w:rStyle w:val="FootnoteReference"/>
        </w:rPr>
        <w:footnoteRef/>
      </w:r>
      <w:r w:rsidRPr="002F7106">
        <w:t xml:space="preserve"> </w:t>
      </w:r>
      <w:r w:rsidRPr="002F7106">
        <w:rPr>
          <w:i/>
          <w:iCs/>
          <w:lang w:val="vi-VN"/>
        </w:rPr>
        <w:t>"</w:t>
      </w:r>
      <w:r w:rsidRPr="002F7106">
        <w:rPr>
          <w:i/>
          <w:iCs/>
          <w:lang w:val="pt-BR" w:eastAsia="en-GB"/>
        </w:rPr>
        <w:t>Công chức quản lý thuế chịu trách nhiệm giải quyết hồ sơ thuế theo đúng chức trách, nhiệm vụ, tuân thủ quy định của pháp luật về quản lý thuế và pháp luật có liên quan trong phạm vi hồ sơ, tài liệu của người nộp thuế cung cấp, văn bản thông tin của cơ quan nhà nước có thẩm quyền cung cấp có liên quan đến giải quyết hồ sơ thuế của người nộp thuế</w:t>
      </w:r>
      <w:r w:rsidRPr="002F7106">
        <w:rPr>
          <w:i/>
          <w:iCs/>
          <w:lang w:val="vi-VN" w:eastAsia="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116CB" w14:textId="77777777" w:rsidR="005D2B2E" w:rsidRDefault="005D2B2E">
    <w:pPr>
      <w:pStyle w:val="Header"/>
      <w:jc w:val="center"/>
    </w:pPr>
    <w:r>
      <w:fldChar w:fldCharType="begin"/>
    </w:r>
    <w:r>
      <w:instrText xml:space="preserve"> PAGE   \* MERGEFORMAT </w:instrText>
    </w:r>
    <w:r>
      <w:fldChar w:fldCharType="separate"/>
    </w:r>
    <w:r w:rsidR="007C653E">
      <w:rPr>
        <w:noProof/>
      </w:rPr>
      <w:t>20</w:t>
    </w:r>
    <w:r>
      <w:rPr>
        <w:noProof/>
      </w:rPr>
      <w:fldChar w:fldCharType="end"/>
    </w:r>
  </w:p>
  <w:p w14:paraId="1C444250" w14:textId="77777777" w:rsidR="005D2B2E" w:rsidRDefault="005D2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6DA4"/>
    <w:multiLevelType w:val="hybridMultilevel"/>
    <w:tmpl w:val="8E84EC8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oNotTrackMov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169"/>
    <w:rsid w:val="0000261F"/>
    <w:rsid w:val="00004FBE"/>
    <w:rsid w:val="00015FEA"/>
    <w:rsid w:val="00016120"/>
    <w:rsid w:val="00017E45"/>
    <w:rsid w:val="00020EF7"/>
    <w:rsid w:val="00022C04"/>
    <w:rsid w:val="00022C95"/>
    <w:rsid w:val="0002325A"/>
    <w:rsid w:val="000233DC"/>
    <w:rsid w:val="00024CB7"/>
    <w:rsid w:val="00026A8C"/>
    <w:rsid w:val="00030D49"/>
    <w:rsid w:val="00031528"/>
    <w:rsid w:val="00032EC2"/>
    <w:rsid w:val="00034F22"/>
    <w:rsid w:val="00054E40"/>
    <w:rsid w:val="00055A4F"/>
    <w:rsid w:val="00056AC0"/>
    <w:rsid w:val="00056AF1"/>
    <w:rsid w:val="000622AB"/>
    <w:rsid w:val="00062E68"/>
    <w:rsid w:val="000637E4"/>
    <w:rsid w:val="00064D3A"/>
    <w:rsid w:val="000729AC"/>
    <w:rsid w:val="000765EA"/>
    <w:rsid w:val="00084936"/>
    <w:rsid w:val="000863E9"/>
    <w:rsid w:val="00087849"/>
    <w:rsid w:val="00097570"/>
    <w:rsid w:val="000979B8"/>
    <w:rsid w:val="000A0940"/>
    <w:rsid w:val="000A275E"/>
    <w:rsid w:val="000A3833"/>
    <w:rsid w:val="000A3C3B"/>
    <w:rsid w:val="000B13EB"/>
    <w:rsid w:val="000B14A4"/>
    <w:rsid w:val="000B1613"/>
    <w:rsid w:val="000B386E"/>
    <w:rsid w:val="000B56FC"/>
    <w:rsid w:val="000B5751"/>
    <w:rsid w:val="000B654B"/>
    <w:rsid w:val="000C75D0"/>
    <w:rsid w:val="000D0154"/>
    <w:rsid w:val="000D0608"/>
    <w:rsid w:val="000D2AA1"/>
    <w:rsid w:val="000D3D32"/>
    <w:rsid w:val="000E145D"/>
    <w:rsid w:val="000E6B19"/>
    <w:rsid w:val="000E7D7F"/>
    <w:rsid w:val="000F2A18"/>
    <w:rsid w:val="000F4D7B"/>
    <w:rsid w:val="00100938"/>
    <w:rsid w:val="00102648"/>
    <w:rsid w:val="001027F4"/>
    <w:rsid w:val="0010468D"/>
    <w:rsid w:val="0011617C"/>
    <w:rsid w:val="00121ADD"/>
    <w:rsid w:val="001239AD"/>
    <w:rsid w:val="00124AAE"/>
    <w:rsid w:val="001334B5"/>
    <w:rsid w:val="0014125F"/>
    <w:rsid w:val="001604CA"/>
    <w:rsid w:val="00160CB4"/>
    <w:rsid w:val="001612F6"/>
    <w:rsid w:val="00164F9D"/>
    <w:rsid w:val="00167886"/>
    <w:rsid w:val="00170B0A"/>
    <w:rsid w:val="00172A01"/>
    <w:rsid w:val="00175F67"/>
    <w:rsid w:val="001769F1"/>
    <w:rsid w:val="001772F7"/>
    <w:rsid w:val="0017748B"/>
    <w:rsid w:val="00177676"/>
    <w:rsid w:val="00191972"/>
    <w:rsid w:val="00192172"/>
    <w:rsid w:val="00197F89"/>
    <w:rsid w:val="001A029C"/>
    <w:rsid w:val="001A1687"/>
    <w:rsid w:val="001A3E28"/>
    <w:rsid w:val="001A4F64"/>
    <w:rsid w:val="001A6580"/>
    <w:rsid w:val="001A6B24"/>
    <w:rsid w:val="001B1FAB"/>
    <w:rsid w:val="001B200A"/>
    <w:rsid w:val="001B4D70"/>
    <w:rsid w:val="001B601E"/>
    <w:rsid w:val="001B625D"/>
    <w:rsid w:val="001C020F"/>
    <w:rsid w:val="001C1164"/>
    <w:rsid w:val="001C34F7"/>
    <w:rsid w:val="001C556F"/>
    <w:rsid w:val="001C7454"/>
    <w:rsid w:val="001D1524"/>
    <w:rsid w:val="001D5B11"/>
    <w:rsid w:val="001D6E7E"/>
    <w:rsid w:val="001D71C8"/>
    <w:rsid w:val="001E5484"/>
    <w:rsid w:val="001E68A2"/>
    <w:rsid w:val="001F2E0E"/>
    <w:rsid w:val="001F3980"/>
    <w:rsid w:val="001F3D41"/>
    <w:rsid w:val="001F7221"/>
    <w:rsid w:val="00202EBA"/>
    <w:rsid w:val="00207AC3"/>
    <w:rsid w:val="00217EA9"/>
    <w:rsid w:val="00222B59"/>
    <w:rsid w:val="00225F17"/>
    <w:rsid w:val="002261B8"/>
    <w:rsid w:val="00231410"/>
    <w:rsid w:val="00240B95"/>
    <w:rsid w:val="0024132E"/>
    <w:rsid w:val="00241AC8"/>
    <w:rsid w:val="00241B39"/>
    <w:rsid w:val="00242812"/>
    <w:rsid w:val="00245681"/>
    <w:rsid w:val="00247037"/>
    <w:rsid w:val="0024709C"/>
    <w:rsid w:val="00250D20"/>
    <w:rsid w:val="00262C65"/>
    <w:rsid w:val="00263BAD"/>
    <w:rsid w:val="00264345"/>
    <w:rsid w:val="00264C47"/>
    <w:rsid w:val="00270525"/>
    <w:rsid w:val="002707B8"/>
    <w:rsid w:val="00271C28"/>
    <w:rsid w:val="00275BF3"/>
    <w:rsid w:val="00275FA2"/>
    <w:rsid w:val="0028145E"/>
    <w:rsid w:val="00281674"/>
    <w:rsid w:val="0028258C"/>
    <w:rsid w:val="00283EBC"/>
    <w:rsid w:val="00285D3C"/>
    <w:rsid w:val="0028614C"/>
    <w:rsid w:val="0028637E"/>
    <w:rsid w:val="002874FF"/>
    <w:rsid w:val="00287C91"/>
    <w:rsid w:val="0029523A"/>
    <w:rsid w:val="002A0AC4"/>
    <w:rsid w:val="002A2708"/>
    <w:rsid w:val="002A2B62"/>
    <w:rsid w:val="002A3884"/>
    <w:rsid w:val="002A432F"/>
    <w:rsid w:val="002A55FA"/>
    <w:rsid w:val="002B201B"/>
    <w:rsid w:val="002B3D56"/>
    <w:rsid w:val="002C1215"/>
    <w:rsid w:val="002C2B6C"/>
    <w:rsid w:val="002C3196"/>
    <w:rsid w:val="002C4DD8"/>
    <w:rsid w:val="002C7F0F"/>
    <w:rsid w:val="002C7FBD"/>
    <w:rsid w:val="002D3035"/>
    <w:rsid w:val="002D5010"/>
    <w:rsid w:val="002D7407"/>
    <w:rsid w:val="002E08E8"/>
    <w:rsid w:val="002E1256"/>
    <w:rsid w:val="002E4E80"/>
    <w:rsid w:val="002E56EC"/>
    <w:rsid w:val="002F7A8F"/>
    <w:rsid w:val="00300549"/>
    <w:rsid w:val="00300A85"/>
    <w:rsid w:val="003010D4"/>
    <w:rsid w:val="00303210"/>
    <w:rsid w:val="0031289E"/>
    <w:rsid w:val="00313C30"/>
    <w:rsid w:val="003144E4"/>
    <w:rsid w:val="00314BF2"/>
    <w:rsid w:val="00317C5D"/>
    <w:rsid w:val="00322A5C"/>
    <w:rsid w:val="00327127"/>
    <w:rsid w:val="00327452"/>
    <w:rsid w:val="00334580"/>
    <w:rsid w:val="00334A77"/>
    <w:rsid w:val="003365BD"/>
    <w:rsid w:val="00341C97"/>
    <w:rsid w:val="00343CBE"/>
    <w:rsid w:val="00346310"/>
    <w:rsid w:val="003471D9"/>
    <w:rsid w:val="00360C1B"/>
    <w:rsid w:val="00362A7E"/>
    <w:rsid w:val="00365135"/>
    <w:rsid w:val="003660E9"/>
    <w:rsid w:val="003755F3"/>
    <w:rsid w:val="00376917"/>
    <w:rsid w:val="00377D0D"/>
    <w:rsid w:val="00380B22"/>
    <w:rsid w:val="00382072"/>
    <w:rsid w:val="00386F09"/>
    <w:rsid w:val="00387776"/>
    <w:rsid w:val="00390729"/>
    <w:rsid w:val="0039092F"/>
    <w:rsid w:val="0039649D"/>
    <w:rsid w:val="0039789A"/>
    <w:rsid w:val="003A2C26"/>
    <w:rsid w:val="003A5E89"/>
    <w:rsid w:val="003B0810"/>
    <w:rsid w:val="003B24CD"/>
    <w:rsid w:val="003C0B9E"/>
    <w:rsid w:val="003C2CC9"/>
    <w:rsid w:val="003C4D03"/>
    <w:rsid w:val="003C5359"/>
    <w:rsid w:val="003D06CA"/>
    <w:rsid w:val="003D1F53"/>
    <w:rsid w:val="003D4014"/>
    <w:rsid w:val="003D4989"/>
    <w:rsid w:val="003D4A88"/>
    <w:rsid w:val="003D566C"/>
    <w:rsid w:val="003D659A"/>
    <w:rsid w:val="003E557E"/>
    <w:rsid w:val="003F1006"/>
    <w:rsid w:val="003F2125"/>
    <w:rsid w:val="003F7EF3"/>
    <w:rsid w:val="00402A23"/>
    <w:rsid w:val="0040343F"/>
    <w:rsid w:val="004058DB"/>
    <w:rsid w:val="004068CE"/>
    <w:rsid w:val="0041121C"/>
    <w:rsid w:val="00414AFC"/>
    <w:rsid w:val="00420F44"/>
    <w:rsid w:val="004224D4"/>
    <w:rsid w:val="00433493"/>
    <w:rsid w:val="0043499B"/>
    <w:rsid w:val="00440272"/>
    <w:rsid w:val="00441E4A"/>
    <w:rsid w:val="00441EFF"/>
    <w:rsid w:val="004422BE"/>
    <w:rsid w:val="0044526A"/>
    <w:rsid w:val="00453E6D"/>
    <w:rsid w:val="004679AA"/>
    <w:rsid w:val="0047184F"/>
    <w:rsid w:val="004737B4"/>
    <w:rsid w:val="00475E54"/>
    <w:rsid w:val="004806C7"/>
    <w:rsid w:val="00481952"/>
    <w:rsid w:val="00484A51"/>
    <w:rsid w:val="004853E4"/>
    <w:rsid w:val="00485AF7"/>
    <w:rsid w:val="00487B84"/>
    <w:rsid w:val="00490EF4"/>
    <w:rsid w:val="00494E64"/>
    <w:rsid w:val="004B1A2E"/>
    <w:rsid w:val="004B60B0"/>
    <w:rsid w:val="004B6F68"/>
    <w:rsid w:val="004C10E9"/>
    <w:rsid w:val="004C2605"/>
    <w:rsid w:val="004C2F98"/>
    <w:rsid w:val="004C32CA"/>
    <w:rsid w:val="004C3400"/>
    <w:rsid w:val="004C5CAD"/>
    <w:rsid w:val="004C67AD"/>
    <w:rsid w:val="004D1A3F"/>
    <w:rsid w:val="004D2BA3"/>
    <w:rsid w:val="004D2EBF"/>
    <w:rsid w:val="004D37AC"/>
    <w:rsid w:val="004D3994"/>
    <w:rsid w:val="004E077C"/>
    <w:rsid w:val="004E1E72"/>
    <w:rsid w:val="004E1EE9"/>
    <w:rsid w:val="004E2472"/>
    <w:rsid w:val="004E293B"/>
    <w:rsid w:val="004E4551"/>
    <w:rsid w:val="004E5B65"/>
    <w:rsid w:val="004E7216"/>
    <w:rsid w:val="004F06D1"/>
    <w:rsid w:val="004F0D9D"/>
    <w:rsid w:val="004F2CCE"/>
    <w:rsid w:val="004F6C7C"/>
    <w:rsid w:val="00500F8E"/>
    <w:rsid w:val="00502B1E"/>
    <w:rsid w:val="00505E8F"/>
    <w:rsid w:val="00507906"/>
    <w:rsid w:val="00510984"/>
    <w:rsid w:val="00511A19"/>
    <w:rsid w:val="00511EB0"/>
    <w:rsid w:val="00514055"/>
    <w:rsid w:val="00516517"/>
    <w:rsid w:val="00517E7D"/>
    <w:rsid w:val="00517ECC"/>
    <w:rsid w:val="005203FA"/>
    <w:rsid w:val="00521D58"/>
    <w:rsid w:val="005227D4"/>
    <w:rsid w:val="00523DE6"/>
    <w:rsid w:val="00526C60"/>
    <w:rsid w:val="00530079"/>
    <w:rsid w:val="00535FEE"/>
    <w:rsid w:val="00536CAB"/>
    <w:rsid w:val="00542F79"/>
    <w:rsid w:val="00544B2C"/>
    <w:rsid w:val="0054642A"/>
    <w:rsid w:val="0054693F"/>
    <w:rsid w:val="00555144"/>
    <w:rsid w:val="005579BD"/>
    <w:rsid w:val="0056664A"/>
    <w:rsid w:val="00566C56"/>
    <w:rsid w:val="00567091"/>
    <w:rsid w:val="005706D5"/>
    <w:rsid w:val="00572340"/>
    <w:rsid w:val="00574933"/>
    <w:rsid w:val="00574F2E"/>
    <w:rsid w:val="005779A3"/>
    <w:rsid w:val="0058432B"/>
    <w:rsid w:val="00585154"/>
    <w:rsid w:val="0058670E"/>
    <w:rsid w:val="00597067"/>
    <w:rsid w:val="00597E38"/>
    <w:rsid w:val="005A2451"/>
    <w:rsid w:val="005B2D5B"/>
    <w:rsid w:val="005B5818"/>
    <w:rsid w:val="005C11E1"/>
    <w:rsid w:val="005D0E87"/>
    <w:rsid w:val="005D2B2E"/>
    <w:rsid w:val="005D3454"/>
    <w:rsid w:val="005D35CC"/>
    <w:rsid w:val="005D451D"/>
    <w:rsid w:val="005E061B"/>
    <w:rsid w:val="005E3035"/>
    <w:rsid w:val="005E327B"/>
    <w:rsid w:val="005E6733"/>
    <w:rsid w:val="005E6D27"/>
    <w:rsid w:val="005F20C9"/>
    <w:rsid w:val="005F49F1"/>
    <w:rsid w:val="00603453"/>
    <w:rsid w:val="006060C6"/>
    <w:rsid w:val="006069E4"/>
    <w:rsid w:val="006102ED"/>
    <w:rsid w:val="006175D8"/>
    <w:rsid w:val="006177D9"/>
    <w:rsid w:val="006205FB"/>
    <w:rsid w:val="006244AA"/>
    <w:rsid w:val="00627B20"/>
    <w:rsid w:val="00633671"/>
    <w:rsid w:val="00633709"/>
    <w:rsid w:val="00634514"/>
    <w:rsid w:val="00643C57"/>
    <w:rsid w:val="00644AE8"/>
    <w:rsid w:val="00647145"/>
    <w:rsid w:val="00647F75"/>
    <w:rsid w:val="00650A2D"/>
    <w:rsid w:val="00652CE0"/>
    <w:rsid w:val="00652E2C"/>
    <w:rsid w:val="006533B4"/>
    <w:rsid w:val="006537D8"/>
    <w:rsid w:val="00654DC7"/>
    <w:rsid w:val="00655569"/>
    <w:rsid w:val="00660BD6"/>
    <w:rsid w:val="00660FC2"/>
    <w:rsid w:val="006618E0"/>
    <w:rsid w:val="00664637"/>
    <w:rsid w:val="006730A3"/>
    <w:rsid w:val="00673AAF"/>
    <w:rsid w:val="0067448A"/>
    <w:rsid w:val="006745F7"/>
    <w:rsid w:val="006838E5"/>
    <w:rsid w:val="00684380"/>
    <w:rsid w:val="00691F83"/>
    <w:rsid w:val="00692058"/>
    <w:rsid w:val="00694314"/>
    <w:rsid w:val="00696CC0"/>
    <w:rsid w:val="00696F9B"/>
    <w:rsid w:val="006A708B"/>
    <w:rsid w:val="006B2560"/>
    <w:rsid w:val="006C2CD3"/>
    <w:rsid w:val="006D00CB"/>
    <w:rsid w:val="006D0C5F"/>
    <w:rsid w:val="006D17C4"/>
    <w:rsid w:val="006D23DD"/>
    <w:rsid w:val="006D50C6"/>
    <w:rsid w:val="006D534C"/>
    <w:rsid w:val="006D5B3B"/>
    <w:rsid w:val="006D675F"/>
    <w:rsid w:val="006E05E0"/>
    <w:rsid w:val="006E3A17"/>
    <w:rsid w:val="006E5E65"/>
    <w:rsid w:val="006F2795"/>
    <w:rsid w:val="006F340A"/>
    <w:rsid w:val="006F355B"/>
    <w:rsid w:val="006F5446"/>
    <w:rsid w:val="006F579F"/>
    <w:rsid w:val="007013D7"/>
    <w:rsid w:val="0070447D"/>
    <w:rsid w:val="00705EAB"/>
    <w:rsid w:val="00707067"/>
    <w:rsid w:val="007139E5"/>
    <w:rsid w:val="0071441F"/>
    <w:rsid w:val="007261E8"/>
    <w:rsid w:val="00726389"/>
    <w:rsid w:val="00733FE6"/>
    <w:rsid w:val="00735495"/>
    <w:rsid w:val="00735EF4"/>
    <w:rsid w:val="007433C5"/>
    <w:rsid w:val="007435A9"/>
    <w:rsid w:val="00744AFF"/>
    <w:rsid w:val="00747274"/>
    <w:rsid w:val="00747EEF"/>
    <w:rsid w:val="007525DF"/>
    <w:rsid w:val="007550DB"/>
    <w:rsid w:val="00755F51"/>
    <w:rsid w:val="00763D04"/>
    <w:rsid w:val="00765EFC"/>
    <w:rsid w:val="0077630B"/>
    <w:rsid w:val="00777B8F"/>
    <w:rsid w:val="0078166A"/>
    <w:rsid w:val="007844E0"/>
    <w:rsid w:val="00784C61"/>
    <w:rsid w:val="00785950"/>
    <w:rsid w:val="00792262"/>
    <w:rsid w:val="0079756F"/>
    <w:rsid w:val="007A2AFA"/>
    <w:rsid w:val="007A502E"/>
    <w:rsid w:val="007A56B0"/>
    <w:rsid w:val="007A6662"/>
    <w:rsid w:val="007A7F66"/>
    <w:rsid w:val="007B0223"/>
    <w:rsid w:val="007B1061"/>
    <w:rsid w:val="007B41AE"/>
    <w:rsid w:val="007B71EE"/>
    <w:rsid w:val="007B7A31"/>
    <w:rsid w:val="007B7B43"/>
    <w:rsid w:val="007C5E03"/>
    <w:rsid w:val="007C653E"/>
    <w:rsid w:val="007D2B78"/>
    <w:rsid w:val="007D6162"/>
    <w:rsid w:val="007E0DB9"/>
    <w:rsid w:val="007E14CF"/>
    <w:rsid w:val="007E2240"/>
    <w:rsid w:val="008007B7"/>
    <w:rsid w:val="00803428"/>
    <w:rsid w:val="008040FB"/>
    <w:rsid w:val="0080665C"/>
    <w:rsid w:val="008102D5"/>
    <w:rsid w:val="00812F08"/>
    <w:rsid w:val="00814DA8"/>
    <w:rsid w:val="0081525B"/>
    <w:rsid w:val="00821972"/>
    <w:rsid w:val="00821D1C"/>
    <w:rsid w:val="00822D40"/>
    <w:rsid w:val="00823A7D"/>
    <w:rsid w:val="00833A33"/>
    <w:rsid w:val="00840248"/>
    <w:rsid w:val="00840430"/>
    <w:rsid w:val="00841903"/>
    <w:rsid w:val="00845003"/>
    <w:rsid w:val="008466BE"/>
    <w:rsid w:val="008568AC"/>
    <w:rsid w:val="00856D25"/>
    <w:rsid w:val="00861EE7"/>
    <w:rsid w:val="008648BF"/>
    <w:rsid w:val="008714A4"/>
    <w:rsid w:val="00875845"/>
    <w:rsid w:val="00876314"/>
    <w:rsid w:val="00883162"/>
    <w:rsid w:val="00896EF1"/>
    <w:rsid w:val="008A04BE"/>
    <w:rsid w:val="008A0E30"/>
    <w:rsid w:val="008A2D44"/>
    <w:rsid w:val="008A4060"/>
    <w:rsid w:val="008A6720"/>
    <w:rsid w:val="008A6823"/>
    <w:rsid w:val="008A6A12"/>
    <w:rsid w:val="008B3B11"/>
    <w:rsid w:val="008B58E8"/>
    <w:rsid w:val="008B7671"/>
    <w:rsid w:val="008C1478"/>
    <w:rsid w:val="008C57FF"/>
    <w:rsid w:val="008D1225"/>
    <w:rsid w:val="008D33E4"/>
    <w:rsid w:val="008D508F"/>
    <w:rsid w:val="008D56B0"/>
    <w:rsid w:val="008E114C"/>
    <w:rsid w:val="008E2E7C"/>
    <w:rsid w:val="008E5643"/>
    <w:rsid w:val="008F1B53"/>
    <w:rsid w:val="008F2779"/>
    <w:rsid w:val="008F357D"/>
    <w:rsid w:val="008F386B"/>
    <w:rsid w:val="00902B91"/>
    <w:rsid w:val="009031CB"/>
    <w:rsid w:val="00913969"/>
    <w:rsid w:val="00913D1A"/>
    <w:rsid w:val="00916C5A"/>
    <w:rsid w:val="009227E8"/>
    <w:rsid w:val="0092578E"/>
    <w:rsid w:val="009268B3"/>
    <w:rsid w:val="00936D58"/>
    <w:rsid w:val="00937414"/>
    <w:rsid w:val="00941808"/>
    <w:rsid w:val="0094197F"/>
    <w:rsid w:val="00945B8E"/>
    <w:rsid w:val="009462FD"/>
    <w:rsid w:val="00950917"/>
    <w:rsid w:val="00950E16"/>
    <w:rsid w:val="00951F30"/>
    <w:rsid w:val="009526F8"/>
    <w:rsid w:val="0095302F"/>
    <w:rsid w:val="00953D53"/>
    <w:rsid w:val="00957C28"/>
    <w:rsid w:val="00964CC3"/>
    <w:rsid w:val="00967304"/>
    <w:rsid w:val="009708CA"/>
    <w:rsid w:val="0097308D"/>
    <w:rsid w:val="0097454A"/>
    <w:rsid w:val="00986E93"/>
    <w:rsid w:val="0099110F"/>
    <w:rsid w:val="009921CE"/>
    <w:rsid w:val="009949F4"/>
    <w:rsid w:val="00994D7A"/>
    <w:rsid w:val="009A1172"/>
    <w:rsid w:val="009A3CC6"/>
    <w:rsid w:val="009A4206"/>
    <w:rsid w:val="009A4A94"/>
    <w:rsid w:val="009A795B"/>
    <w:rsid w:val="009B3170"/>
    <w:rsid w:val="009B3224"/>
    <w:rsid w:val="009B54CF"/>
    <w:rsid w:val="009B5D24"/>
    <w:rsid w:val="009B76D0"/>
    <w:rsid w:val="009C25DB"/>
    <w:rsid w:val="009C6353"/>
    <w:rsid w:val="009D2DE4"/>
    <w:rsid w:val="009E1EFC"/>
    <w:rsid w:val="009E55E2"/>
    <w:rsid w:val="009E585A"/>
    <w:rsid w:val="009E5B7E"/>
    <w:rsid w:val="009E6AFA"/>
    <w:rsid w:val="009E7683"/>
    <w:rsid w:val="00A00079"/>
    <w:rsid w:val="00A049FF"/>
    <w:rsid w:val="00A05ED3"/>
    <w:rsid w:val="00A06A9E"/>
    <w:rsid w:val="00A0788E"/>
    <w:rsid w:val="00A1414F"/>
    <w:rsid w:val="00A14620"/>
    <w:rsid w:val="00A21876"/>
    <w:rsid w:val="00A22CB3"/>
    <w:rsid w:val="00A23202"/>
    <w:rsid w:val="00A23DF9"/>
    <w:rsid w:val="00A24A99"/>
    <w:rsid w:val="00A40F57"/>
    <w:rsid w:val="00A444D6"/>
    <w:rsid w:val="00A45190"/>
    <w:rsid w:val="00A47F59"/>
    <w:rsid w:val="00A53074"/>
    <w:rsid w:val="00A54B24"/>
    <w:rsid w:val="00A55CB0"/>
    <w:rsid w:val="00A61437"/>
    <w:rsid w:val="00A66942"/>
    <w:rsid w:val="00A66E53"/>
    <w:rsid w:val="00A67A74"/>
    <w:rsid w:val="00A70659"/>
    <w:rsid w:val="00A749A9"/>
    <w:rsid w:val="00A85D3B"/>
    <w:rsid w:val="00A90309"/>
    <w:rsid w:val="00A91711"/>
    <w:rsid w:val="00A94859"/>
    <w:rsid w:val="00AA65B5"/>
    <w:rsid w:val="00AA693E"/>
    <w:rsid w:val="00AB4A5E"/>
    <w:rsid w:val="00AB5CAA"/>
    <w:rsid w:val="00AB7B2A"/>
    <w:rsid w:val="00AC5068"/>
    <w:rsid w:val="00AC5661"/>
    <w:rsid w:val="00AD093F"/>
    <w:rsid w:val="00AD0C93"/>
    <w:rsid w:val="00AD7AB1"/>
    <w:rsid w:val="00AE157D"/>
    <w:rsid w:val="00AE16F2"/>
    <w:rsid w:val="00AE17DD"/>
    <w:rsid w:val="00AE347B"/>
    <w:rsid w:val="00AE3572"/>
    <w:rsid w:val="00AE49F4"/>
    <w:rsid w:val="00AE5EAD"/>
    <w:rsid w:val="00AE5EDC"/>
    <w:rsid w:val="00AE5F17"/>
    <w:rsid w:val="00AF0293"/>
    <w:rsid w:val="00AF275C"/>
    <w:rsid w:val="00AF4CF7"/>
    <w:rsid w:val="00AF4F17"/>
    <w:rsid w:val="00B13500"/>
    <w:rsid w:val="00B13A51"/>
    <w:rsid w:val="00B13AA5"/>
    <w:rsid w:val="00B22778"/>
    <w:rsid w:val="00B32AB0"/>
    <w:rsid w:val="00B3359A"/>
    <w:rsid w:val="00B341C1"/>
    <w:rsid w:val="00B4239C"/>
    <w:rsid w:val="00B42A13"/>
    <w:rsid w:val="00B42AD9"/>
    <w:rsid w:val="00B43710"/>
    <w:rsid w:val="00B47005"/>
    <w:rsid w:val="00B5315F"/>
    <w:rsid w:val="00B53ED5"/>
    <w:rsid w:val="00B659A9"/>
    <w:rsid w:val="00B6679C"/>
    <w:rsid w:val="00B7202F"/>
    <w:rsid w:val="00B72D4B"/>
    <w:rsid w:val="00B75EC1"/>
    <w:rsid w:val="00B779AC"/>
    <w:rsid w:val="00B81C62"/>
    <w:rsid w:val="00B8342C"/>
    <w:rsid w:val="00B92C13"/>
    <w:rsid w:val="00B93EFC"/>
    <w:rsid w:val="00B94D18"/>
    <w:rsid w:val="00B97304"/>
    <w:rsid w:val="00B97864"/>
    <w:rsid w:val="00BA0261"/>
    <w:rsid w:val="00BA02E6"/>
    <w:rsid w:val="00BA25E2"/>
    <w:rsid w:val="00BA4167"/>
    <w:rsid w:val="00BA4859"/>
    <w:rsid w:val="00BA7B76"/>
    <w:rsid w:val="00BB0ED2"/>
    <w:rsid w:val="00BB1FF3"/>
    <w:rsid w:val="00BB3928"/>
    <w:rsid w:val="00BB6AA2"/>
    <w:rsid w:val="00BB7B72"/>
    <w:rsid w:val="00BC1A17"/>
    <w:rsid w:val="00BC3EF6"/>
    <w:rsid w:val="00BC645C"/>
    <w:rsid w:val="00BD0169"/>
    <w:rsid w:val="00BD0906"/>
    <w:rsid w:val="00BD3A15"/>
    <w:rsid w:val="00BD5A1C"/>
    <w:rsid w:val="00BD772B"/>
    <w:rsid w:val="00BE03F7"/>
    <w:rsid w:val="00BF0D20"/>
    <w:rsid w:val="00BF0E57"/>
    <w:rsid w:val="00C00DCA"/>
    <w:rsid w:val="00C05763"/>
    <w:rsid w:val="00C06328"/>
    <w:rsid w:val="00C15E01"/>
    <w:rsid w:val="00C162B7"/>
    <w:rsid w:val="00C17D86"/>
    <w:rsid w:val="00C21DB2"/>
    <w:rsid w:val="00C2369B"/>
    <w:rsid w:val="00C27850"/>
    <w:rsid w:val="00C3061B"/>
    <w:rsid w:val="00C32FD9"/>
    <w:rsid w:val="00C3638B"/>
    <w:rsid w:val="00C378A1"/>
    <w:rsid w:val="00C37E13"/>
    <w:rsid w:val="00C4090E"/>
    <w:rsid w:val="00C40BB6"/>
    <w:rsid w:val="00C427E4"/>
    <w:rsid w:val="00C45B34"/>
    <w:rsid w:val="00C46B3C"/>
    <w:rsid w:val="00C512FE"/>
    <w:rsid w:val="00C51E8A"/>
    <w:rsid w:val="00C526AC"/>
    <w:rsid w:val="00C558D0"/>
    <w:rsid w:val="00C55FDA"/>
    <w:rsid w:val="00C56199"/>
    <w:rsid w:val="00C579E7"/>
    <w:rsid w:val="00C60CBD"/>
    <w:rsid w:val="00C626BD"/>
    <w:rsid w:val="00C661D6"/>
    <w:rsid w:val="00C6708D"/>
    <w:rsid w:val="00C73469"/>
    <w:rsid w:val="00C738C5"/>
    <w:rsid w:val="00C75788"/>
    <w:rsid w:val="00C81BAB"/>
    <w:rsid w:val="00C8625F"/>
    <w:rsid w:val="00C933A4"/>
    <w:rsid w:val="00C97258"/>
    <w:rsid w:val="00C97BCA"/>
    <w:rsid w:val="00CA6619"/>
    <w:rsid w:val="00CB0EE1"/>
    <w:rsid w:val="00CB3203"/>
    <w:rsid w:val="00CB3AF2"/>
    <w:rsid w:val="00CB50EF"/>
    <w:rsid w:val="00CB60C5"/>
    <w:rsid w:val="00CC072C"/>
    <w:rsid w:val="00CC0D3A"/>
    <w:rsid w:val="00CC17B9"/>
    <w:rsid w:val="00CC1A9B"/>
    <w:rsid w:val="00CC1DBE"/>
    <w:rsid w:val="00CC7A08"/>
    <w:rsid w:val="00CD4AAC"/>
    <w:rsid w:val="00CD4ED4"/>
    <w:rsid w:val="00CD6C27"/>
    <w:rsid w:val="00CE286A"/>
    <w:rsid w:val="00CE35A1"/>
    <w:rsid w:val="00CE4DD1"/>
    <w:rsid w:val="00CF586D"/>
    <w:rsid w:val="00D02D13"/>
    <w:rsid w:val="00D06B60"/>
    <w:rsid w:val="00D0776A"/>
    <w:rsid w:val="00D07B38"/>
    <w:rsid w:val="00D1422A"/>
    <w:rsid w:val="00D14B94"/>
    <w:rsid w:val="00D20DB2"/>
    <w:rsid w:val="00D22758"/>
    <w:rsid w:val="00D254C0"/>
    <w:rsid w:val="00D301E3"/>
    <w:rsid w:val="00D30227"/>
    <w:rsid w:val="00D308F0"/>
    <w:rsid w:val="00D32157"/>
    <w:rsid w:val="00D41B96"/>
    <w:rsid w:val="00D4342B"/>
    <w:rsid w:val="00D45A24"/>
    <w:rsid w:val="00D4750D"/>
    <w:rsid w:val="00D513D4"/>
    <w:rsid w:val="00D5294F"/>
    <w:rsid w:val="00D52A82"/>
    <w:rsid w:val="00D60E04"/>
    <w:rsid w:val="00D62914"/>
    <w:rsid w:val="00D63A76"/>
    <w:rsid w:val="00D63FE7"/>
    <w:rsid w:val="00D65300"/>
    <w:rsid w:val="00D719F5"/>
    <w:rsid w:val="00D751A8"/>
    <w:rsid w:val="00D93C28"/>
    <w:rsid w:val="00D93EA8"/>
    <w:rsid w:val="00D973D5"/>
    <w:rsid w:val="00DA6105"/>
    <w:rsid w:val="00DA6B5A"/>
    <w:rsid w:val="00DB0658"/>
    <w:rsid w:val="00DB3DE4"/>
    <w:rsid w:val="00DB4845"/>
    <w:rsid w:val="00DB5970"/>
    <w:rsid w:val="00DB66ED"/>
    <w:rsid w:val="00DC25E0"/>
    <w:rsid w:val="00DC546F"/>
    <w:rsid w:val="00DC59F8"/>
    <w:rsid w:val="00DC6B70"/>
    <w:rsid w:val="00DD54DA"/>
    <w:rsid w:val="00DD589B"/>
    <w:rsid w:val="00DD6F95"/>
    <w:rsid w:val="00DE0248"/>
    <w:rsid w:val="00DE081D"/>
    <w:rsid w:val="00DE18D7"/>
    <w:rsid w:val="00DE74AE"/>
    <w:rsid w:val="00DE7A30"/>
    <w:rsid w:val="00DF507B"/>
    <w:rsid w:val="00DF599F"/>
    <w:rsid w:val="00E01FC5"/>
    <w:rsid w:val="00E02B22"/>
    <w:rsid w:val="00E03913"/>
    <w:rsid w:val="00E04E3A"/>
    <w:rsid w:val="00E05DCA"/>
    <w:rsid w:val="00E12B8C"/>
    <w:rsid w:val="00E12C7B"/>
    <w:rsid w:val="00E13771"/>
    <w:rsid w:val="00E206DD"/>
    <w:rsid w:val="00E207C6"/>
    <w:rsid w:val="00E21DD3"/>
    <w:rsid w:val="00E339BD"/>
    <w:rsid w:val="00E34A3E"/>
    <w:rsid w:val="00E36DD6"/>
    <w:rsid w:val="00E3751D"/>
    <w:rsid w:val="00E425F3"/>
    <w:rsid w:val="00E440D0"/>
    <w:rsid w:val="00E469E7"/>
    <w:rsid w:val="00E52991"/>
    <w:rsid w:val="00E55D42"/>
    <w:rsid w:val="00E5758D"/>
    <w:rsid w:val="00E64093"/>
    <w:rsid w:val="00E6414E"/>
    <w:rsid w:val="00E645AE"/>
    <w:rsid w:val="00E71A8F"/>
    <w:rsid w:val="00E73FB7"/>
    <w:rsid w:val="00E74688"/>
    <w:rsid w:val="00E74F0A"/>
    <w:rsid w:val="00E81C5E"/>
    <w:rsid w:val="00E8254B"/>
    <w:rsid w:val="00E93CA4"/>
    <w:rsid w:val="00E95C0F"/>
    <w:rsid w:val="00E976EB"/>
    <w:rsid w:val="00EA294F"/>
    <w:rsid w:val="00EA42EA"/>
    <w:rsid w:val="00EA7575"/>
    <w:rsid w:val="00EA78B9"/>
    <w:rsid w:val="00EB1C67"/>
    <w:rsid w:val="00EC71D8"/>
    <w:rsid w:val="00ED20C6"/>
    <w:rsid w:val="00ED76DF"/>
    <w:rsid w:val="00EE7B72"/>
    <w:rsid w:val="00EE7DF4"/>
    <w:rsid w:val="00EF2275"/>
    <w:rsid w:val="00EF2A3E"/>
    <w:rsid w:val="00EF33ED"/>
    <w:rsid w:val="00EF3E72"/>
    <w:rsid w:val="00EF687E"/>
    <w:rsid w:val="00EF6E7C"/>
    <w:rsid w:val="00F00458"/>
    <w:rsid w:val="00F034CF"/>
    <w:rsid w:val="00F07DC7"/>
    <w:rsid w:val="00F109AB"/>
    <w:rsid w:val="00F1101C"/>
    <w:rsid w:val="00F11ED0"/>
    <w:rsid w:val="00F16420"/>
    <w:rsid w:val="00F216B8"/>
    <w:rsid w:val="00F242ED"/>
    <w:rsid w:val="00F3252A"/>
    <w:rsid w:val="00F33357"/>
    <w:rsid w:val="00F34BF5"/>
    <w:rsid w:val="00F45633"/>
    <w:rsid w:val="00F45E7D"/>
    <w:rsid w:val="00F46050"/>
    <w:rsid w:val="00F56E70"/>
    <w:rsid w:val="00F61768"/>
    <w:rsid w:val="00F638D1"/>
    <w:rsid w:val="00F6747D"/>
    <w:rsid w:val="00F67DB7"/>
    <w:rsid w:val="00F717E4"/>
    <w:rsid w:val="00F77CB7"/>
    <w:rsid w:val="00F81408"/>
    <w:rsid w:val="00F81C5D"/>
    <w:rsid w:val="00F8348E"/>
    <w:rsid w:val="00F84CAF"/>
    <w:rsid w:val="00F85825"/>
    <w:rsid w:val="00F92329"/>
    <w:rsid w:val="00F9419C"/>
    <w:rsid w:val="00F94385"/>
    <w:rsid w:val="00F963A0"/>
    <w:rsid w:val="00F97EB0"/>
    <w:rsid w:val="00FA112B"/>
    <w:rsid w:val="00FA255F"/>
    <w:rsid w:val="00FA3AD6"/>
    <w:rsid w:val="00FA3E1A"/>
    <w:rsid w:val="00FA6E0B"/>
    <w:rsid w:val="00FB4732"/>
    <w:rsid w:val="00FB4A8D"/>
    <w:rsid w:val="00FB5196"/>
    <w:rsid w:val="00FC0E0D"/>
    <w:rsid w:val="00FC5088"/>
    <w:rsid w:val="00FD0681"/>
    <w:rsid w:val="00FD272E"/>
    <w:rsid w:val="00FE0FC8"/>
    <w:rsid w:val="00FE2630"/>
    <w:rsid w:val="00FE26A3"/>
    <w:rsid w:val="00FE6670"/>
    <w:rsid w:val="00FF1E2A"/>
    <w:rsid w:val="00FF339C"/>
    <w:rsid w:val="00FF4CA5"/>
    <w:rsid w:val="00FF73F8"/>
    <w:rsid w:val="00FF7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32"/>
      </o:rules>
    </o:shapelayout>
  </w:shapeDefaults>
  <w:decimalSymbol w:val="."/>
  <w:listSeparator w:val=","/>
  <w14:docId w14:val="65E00826"/>
  <w15:chartTrackingRefBased/>
  <w15:docId w15:val="{529BD1C1-DB5E-4F4C-B120-8EEB38CE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169"/>
    <w:rPr>
      <w:rFonts w:ascii="Times New Roman" w:eastAsia="Times New Roman" w:hAnsi="Times New Roman"/>
      <w:sz w:val="24"/>
      <w:szCs w:val="24"/>
    </w:rPr>
  </w:style>
  <w:style w:type="paragraph" w:styleId="Heading2">
    <w:name w:val="heading 2"/>
    <w:basedOn w:val="Normal"/>
    <w:next w:val="Normal"/>
    <w:link w:val="Heading2Char"/>
    <w:qFormat/>
    <w:rsid w:val="00F77CB7"/>
    <w:pPr>
      <w:keepNext/>
      <w:jc w:val="center"/>
      <w:outlineLvl w:val="1"/>
    </w:pPr>
    <w:rPr>
      <w:rFonts w:ascii=".VnTimeH" w:hAnsi=".VnTimeH"/>
      <w:b/>
      <w:sz w:val="36"/>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ak,fn,footnote text,single space,Footnote Text Char Char Char Char Char,Footnote Text Char Char Char Char Char Char Ch,Footnote Text Char Char Char Char Char Char Ch Char Char Char,Footnot,Footnote Text Char1 Char,Char Char,ft,f,A"/>
    <w:basedOn w:val="Normal"/>
    <w:link w:val="FootnoteTextChar"/>
    <w:uiPriority w:val="99"/>
    <w:qFormat/>
    <w:rsid w:val="00BD0169"/>
    <w:rPr>
      <w:sz w:val="20"/>
      <w:szCs w:val="20"/>
    </w:rPr>
  </w:style>
  <w:style w:type="character" w:customStyle="1" w:styleId="FootnoteTextChar">
    <w:name w:val="Footnote Text Char"/>
    <w:aliases w:val="Footnote ak Char,fn Char,footnote text Char,single space Char,Footnote Text Char Char Char Char Char Char,Footnote Text Char Char Char Char Char Char Ch Char,Footnote Text Char Char Char Char Char Char Ch Char Char Char Char,ft Char"/>
    <w:link w:val="FootnoteText"/>
    <w:uiPriority w:val="99"/>
    <w:qFormat/>
    <w:rsid w:val="00BD0169"/>
    <w:rPr>
      <w:rFonts w:ascii="Times New Roman" w:eastAsia="Times New Roman" w:hAnsi="Times New Roman" w:cs="Times New Roman"/>
      <w:sz w:val="20"/>
      <w:szCs w:val="20"/>
    </w:rPr>
  </w:style>
  <w:style w:type="character" w:styleId="FootnoteReference">
    <w:name w:val="footnote reference"/>
    <w:aliases w:val="Footnote,Ref,de nota al pie,Footnote text + 13 pt,Footnote text,ftref,(NECG) Footnote Reference,16 Point,Superscript 6 Point,Footnote + Arial,10 pt,Black,SUPERS,Footnote dich,fr,Footnote Text1,BearingPoint,Footnote Text11,BVI fnr,Re"/>
    <w:link w:val="CarattereCarattereCharCharCharCharCharCharZchn"/>
    <w:qFormat/>
    <w:rsid w:val="00BD0169"/>
    <w:rPr>
      <w:vertAlign w:val="superscript"/>
    </w:rPr>
  </w:style>
  <w:style w:type="paragraph" w:styleId="Header">
    <w:name w:val="header"/>
    <w:basedOn w:val="Normal"/>
    <w:link w:val="HeaderChar"/>
    <w:uiPriority w:val="99"/>
    <w:unhideWhenUsed/>
    <w:rsid w:val="00BD0169"/>
    <w:pPr>
      <w:tabs>
        <w:tab w:val="center" w:pos="4680"/>
        <w:tab w:val="right" w:pos="9360"/>
      </w:tabs>
    </w:pPr>
  </w:style>
  <w:style w:type="character" w:customStyle="1" w:styleId="HeaderChar">
    <w:name w:val="Header Char"/>
    <w:link w:val="Header"/>
    <w:uiPriority w:val="99"/>
    <w:rsid w:val="00BD0169"/>
    <w:rPr>
      <w:rFonts w:ascii="Times New Roman" w:eastAsia="Times New Roman" w:hAnsi="Times New Roman" w:cs="Times New Roman"/>
    </w:rPr>
  </w:style>
  <w:style w:type="paragraph" w:styleId="Footer">
    <w:name w:val="footer"/>
    <w:basedOn w:val="Normal"/>
    <w:link w:val="FooterChar"/>
    <w:uiPriority w:val="99"/>
    <w:unhideWhenUsed/>
    <w:rsid w:val="00BD0169"/>
    <w:pPr>
      <w:tabs>
        <w:tab w:val="center" w:pos="4680"/>
        <w:tab w:val="right" w:pos="9360"/>
      </w:tabs>
    </w:pPr>
  </w:style>
  <w:style w:type="character" w:customStyle="1" w:styleId="FooterChar">
    <w:name w:val="Footer Char"/>
    <w:link w:val="Footer"/>
    <w:uiPriority w:val="99"/>
    <w:rsid w:val="00BD016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D5B3B"/>
    <w:rPr>
      <w:rFonts w:ascii="Segoe UI" w:hAnsi="Segoe UI" w:cs="Segoe UI"/>
      <w:sz w:val="18"/>
      <w:szCs w:val="18"/>
    </w:rPr>
  </w:style>
  <w:style w:type="character" w:customStyle="1" w:styleId="BalloonTextChar">
    <w:name w:val="Balloon Text Char"/>
    <w:link w:val="BalloonText"/>
    <w:uiPriority w:val="99"/>
    <w:semiHidden/>
    <w:rsid w:val="006D5B3B"/>
    <w:rPr>
      <w:rFonts w:ascii="Segoe UI" w:eastAsia="Times New Roman" w:hAnsi="Segoe UI" w:cs="Segoe UI"/>
      <w:sz w:val="18"/>
      <w:szCs w:val="18"/>
    </w:rPr>
  </w:style>
  <w:style w:type="paragraph" w:customStyle="1" w:styleId="tenvb-p">
    <w:name w:val="tenvb-p"/>
    <w:basedOn w:val="Normal"/>
    <w:rsid w:val="00DB3DE4"/>
    <w:pPr>
      <w:jc w:val="center"/>
    </w:pPr>
    <w:rPr>
      <w:sz w:val="20"/>
      <w:szCs w:val="20"/>
    </w:rPr>
  </w:style>
  <w:style w:type="character" w:customStyle="1" w:styleId="Heading2Char">
    <w:name w:val="Heading 2 Char"/>
    <w:link w:val="Heading2"/>
    <w:rsid w:val="00F77CB7"/>
    <w:rPr>
      <w:rFonts w:ascii=".VnTimeH" w:eastAsia="Times New Roman" w:hAnsi=".VnTimeH"/>
      <w:b/>
      <w:sz w:val="36"/>
      <w:szCs w:val="28"/>
      <w:lang w:val="x-none" w:eastAsia="x-none"/>
    </w:rPr>
  </w:style>
  <w:style w:type="paragraph" w:styleId="NormalWeb">
    <w:name w:val="Normal (Web)"/>
    <w:aliases w:val="Normal (Web) Char1,Char8 Char,Char8,webb,Обычный (веб)1,Обычный (веб) Знак,Обычный (веб) Знак1,Обычный (веб) Знак Знак,Char Char Char Char Char Char Char Char Char Char Char"/>
    <w:basedOn w:val="Normal"/>
    <w:link w:val="NormalWebChar"/>
    <w:uiPriority w:val="99"/>
    <w:qFormat/>
    <w:rsid w:val="00F77CB7"/>
    <w:pPr>
      <w:widowControl w:val="0"/>
      <w:spacing w:before="120" w:line="340" w:lineRule="exact"/>
      <w:ind w:firstLine="697"/>
      <w:jc w:val="both"/>
    </w:pPr>
    <w:rPr>
      <w:sz w:val="28"/>
      <w:szCs w:val="28"/>
      <w:lang w:val="nl-NL"/>
    </w:rPr>
  </w:style>
  <w:style w:type="paragraph" w:styleId="Revision">
    <w:name w:val="Revision"/>
    <w:hidden/>
    <w:uiPriority w:val="71"/>
    <w:unhideWhenUsed/>
    <w:rsid w:val="006730A3"/>
    <w:rPr>
      <w:rFonts w:ascii="Times New Roman" w:eastAsia="Times New Roman" w:hAnsi="Times New Roman"/>
      <w:sz w:val="24"/>
      <w:szCs w:val="24"/>
    </w:rPr>
  </w:style>
  <w:style w:type="paragraph" w:styleId="ListParagraph">
    <w:name w:val="List Paragraph"/>
    <w:basedOn w:val="Normal"/>
    <w:uiPriority w:val="72"/>
    <w:qFormat/>
    <w:rsid w:val="00F34BF5"/>
    <w:pPr>
      <w:ind w:left="720"/>
    </w:pPr>
  </w:style>
  <w:style w:type="character" w:styleId="Strong">
    <w:name w:val="Strong"/>
    <w:uiPriority w:val="22"/>
    <w:qFormat/>
    <w:rsid w:val="00FA255F"/>
    <w:rPr>
      <w:b/>
      <w:bCs/>
    </w:rPr>
  </w:style>
  <w:style w:type="character" w:customStyle="1" w:styleId="NormalWebChar">
    <w:name w:val="Normal (Web) Char"/>
    <w:aliases w:val="Normal (Web) Char1 Char,Char8 Char Char,Char8 Char1,webb Char,Обычный (веб)1 Char,Обычный (веб) Знак Char,Обычный (веб) Знак1 Char,Обычный (веб) Знак Знак Char,Char Char Char Char Char Char Char Char Char Char Char Char"/>
    <w:link w:val="NormalWeb"/>
    <w:uiPriority w:val="99"/>
    <w:locked/>
    <w:rsid w:val="005D2B2E"/>
    <w:rPr>
      <w:rFonts w:ascii="Times New Roman" w:eastAsia="Times New Roman" w:hAnsi="Times New Roman"/>
      <w:sz w:val="28"/>
      <w:szCs w:val="28"/>
      <w:lang w:val="nl-NL"/>
    </w:rPr>
  </w:style>
  <w:style w:type="character" w:styleId="CommentReference">
    <w:name w:val="annotation reference"/>
    <w:basedOn w:val="DefaultParagraphFont"/>
    <w:uiPriority w:val="99"/>
    <w:semiHidden/>
    <w:unhideWhenUsed/>
    <w:rsid w:val="00AB7B2A"/>
    <w:rPr>
      <w:sz w:val="16"/>
      <w:szCs w:val="16"/>
    </w:rPr>
  </w:style>
  <w:style w:type="paragraph" w:styleId="CommentText">
    <w:name w:val="annotation text"/>
    <w:basedOn w:val="Normal"/>
    <w:link w:val="CommentTextChar"/>
    <w:uiPriority w:val="99"/>
    <w:semiHidden/>
    <w:unhideWhenUsed/>
    <w:rsid w:val="00AB7B2A"/>
    <w:rPr>
      <w:sz w:val="20"/>
      <w:szCs w:val="20"/>
    </w:rPr>
  </w:style>
  <w:style w:type="character" w:customStyle="1" w:styleId="CommentTextChar">
    <w:name w:val="Comment Text Char"/>
    <w:basedOn w:val="DefaultParagraphFont"/>
    <w:link w:val="CommentText"/>
    <w:uiPriority w:val="99"/>
    <w:semiHidden/>
    <w:rsid w:val="00AB7B2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B7B2A"/>
    <w:rPr>
      <w:b/>
      <w:bCs/>
    </w:rPr>
  </w:style>
  <w:style w:type="character" w:customStyle="1" w:styleId="CommentSubjectChar">
    <w:name w:val="Comment Subject Char"/>
    <w:basedOn w:val="CommentTextChar"/>
    <w:link w:val="CommentSubject"/>
    <w:uiPriority w:val="99"/>
    <w:semiHidden/>
    <w:rsid w:val="00AB7B2A"/>
    <w:rPr>
      <w:rFonts w:ascii="Times New Roman" w:eastAsia="Times New Roman" w:hAnsi="Times New Roman"/>
      <w:b/>
      <w:bC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A0788E"/>
    <w:pPr>
      <w:spacing w:after="160" w:line="240" w:lineRule="exact"/>
    </w:pPr>
    <w:rPr>
      <w:rFonts w:ascii="Calibri" w:eastAsia="Calibri" w:hAnsi="Calibri"/>
      <w:sz w:val="20"/>
      <w:szCs w:val="20"/>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uiPriority w:val="99"/>
    <w:qFormat/>
    <w:rsid w:val="00225F17"/>
    <w:pPr>
      <w:suppressAutoHyphens/>
      <w:spacing w:after="160" w:line="240" w:lineRule="exact"/>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56619">
      <w:bodyDiv w:val="1"/>
      <w:marLeft w:val="0"/>
      <w:marRight w:val="0"/>
      <w:marTop w:val="0"/>
      <w:marBottom w:val="0"/>
      <w:divBdr>
        <w:top w:val="none" w:sz="0" w:space="0" w:color="auto"/>
        <w:left w:val="none" w:sz="0" w:space="0" w:color="auto"/>
        <w:bottom w:val="none" w:sz="0" w:space="0" w:color="auto"/>
        <w:right w:val="none" w:sz="0" w:space="0" w:color="auto"/>
      </w:divBdr>
    </w:div>
    <w:div w:id="266810023">
      <w:bodyDiv w:val="1"/>
      <w:marLeft w:val="0"/>
      <w:marRight w:val="0"/>
      <w:marTop w:val="0"/>
      <w:marBottom w:val="0"/>
      <w:divBdr>
        <w:top w:val="none" w:sz="0" w:space="0" w:color="auto"/>
        <w:left w:val="none" w:sz="0" w:space="0" w:color="auto"/>
        <w:bottom w:val="none" w:sz="0" w:space="0" w:color="auto"/>
        <w:right w:val="none" w:sz="0" w:space="0" w:color="auto"/>
      </w:divBdr>
    </w:div>
    <w:div w:id="306403595">
      <w:bodyDiv w:val="1"/>
      <w:marLeft w:val="0"/>
      <w:marRight w:val="0"/>
      <w:marTop w:val="0"/>
      <w:marBottom w:val="0"/>
      <w:divBdr>
        <w:top w:val="none" w:sz="0" w:space="0" w:color="auto"/>
        <w:left w:val="none" w:sz="0" w:space="0" w:color="auto"/>
        <w:bottom w:val="none" w:sz="0" w:space="0" w:color="auto"/>
        <w:right w:val="none" w:sz="0" w:space="0" w:color="auto"/>
      </w:divBdr>
    </w:div>
    <w:div w:id="372274911">
      <w:bodyDiv w:val="1"/>
      <w:marLeft w:val="0"/>
      <w:marRight w:val="0"/>
      <w:marTop w:val="0"/>
      <w:marBottom w:val="0"/>
      <w:divBdr>
        <w:top w:val="none" w:sz="0" w:space="0" w:color="auto"/>
        <w:left w:val="none" w:sz="0" w:space="0" w:color="auto"/>
        <w:bottom w:val="none" w:sz="0" w:space="0" w:color="auto"/>
        <w:right w:val="none" w:sz="0" w:space="0" w:color="auto"/>
      </w:divBdr>
    </w:div>
    <w:div w:id="378090245">
      <w:bodyDiv w:val="1"/>
      <w:marLeft w:val="0"/>
      <w:marRight w:val="0"/>
      <w:marTop w:val="0"/>
      <w:marBottom w:val="0"/>
      <w:divBdr>
        <w:top w:val="none" w:sz="0" w:space="0" w:color="auto"/>
        <w:left w:val="none" w:sz="0" w:space="0" w:color="auto"/>
        <w:bottom w:val="none" w:sz="0" w:space="0" w:color="auto"/>
        <w:right w:val="none" w:sz="0" w:space="0" w:color="auto"/>
      </w:divBdr>
    </w:div>
    <w:div w:id="573054400">
      <w:bodyDiv w:val="1"/>
      <w:marLeft w:val="0"/>
      <w:marRight w:val="0"/>
      <w:marTop w:val="0"/>
      <w:marBottom w:val="0"/>
      <w:divBdr>
        <w:top w:val="none" w:sz="0" w:space="0" w:color="auto"/>
        <w:left w:val="none" w:sz="0" w:space="0" w:color="auto"/>
        <w:bottom w:val="none" w:sz="0" w:space="0" w:color="auto"/>
        <w:right w:val="none" w:sz="0" w:space="0" w:color="auto"/>
      </w:divBdr>
    </w:div>
    <w:div w:id="752627009">
      <w:bodyDiv w:val="1"/>
      <w:marLeft w:val="0"/>
      <w:marRight w:val="0"/>
      <w:marTop w:val="0"/>
      <w:marBottom w:val="0"/>
      <w:divBdr>
        <w:top w:val="none" w:sz="0" w:space="0" w:color="auto"/>
        <w:left w:val="none" w:sz="0" w:space="0" w:color="auto"/>
        <w:bottom w:val="none" w:sz="0" w:space="0" w:color="auto"/>
        <w:right w:val="none" w:sz="0" w:space="0" w:color="auto"/>
      </w:divBdr>
    </w:div>
    <w:div w:id="767848569">
      <w:bodyDiv w:val="1"/>
      <w:marLeft w:val="0"/>
      <w:marRight w:val="0"/>
      <w:marTop w:val="0"/>
      <w:marBottom w:val="0"/>
      <w:divBdr>
        <w:top w:val="none" w:sz="0" w:space="0" w:color="auto"/>
        <w:left w:val="none" w:sz="0" w:space="0" w:color="auto"/>
        <w:bottom w:val="none" w:sz="0" w:space="0" w:color="auto"/>
        <w:right w:val="none" w:sz="0" w:space="0" w:color="auto"/>
      </w:divBdr>
    </w:div>
    <w:div w:id="840241357">
      <w:bodyDiv w:val="1"/>
      <w:marLeft w:val="0"/>
      <w:marRight w:val="0"/>
      <w:marTop w:val="0"/>
      <w:marBottom w:val="0"/>
      <w:divBdr>
        <w:top w:val="none" w:sz="0" w:space="0" w:color="auto"/>
        <w:left w:val="none" w:sz="0" w:space="0" w:color="auto"/>
        <w:bottom w:val="none" w:sz="0" w:space="0" w:color="auto"/>
        <w:right w:val="none" w:sz="0" w:space="0" w:color="auto"/>
      </w:divBdr>
    </w:div>
    <w:div w:id="876311510">
      <w:bodyDiv w:val="1"/>
      <w:marLeft w:val="0"/>
      <w:marRight w:val="0"/>
      <w:marTop w:val="0"/>
      <w:marBottom w:val="0"/>
      <w:divBdr>
        <w:top w:val="none" w:sz="0" w:space="0" w:color="auto"/>
        <w:left w:val="none" w:sz="0" w:space="0" w:color="auto"/>
        <w:bottom w:val="none" w:sz="0" w:space="0" w:color="auto"/>
        <w:right w:val="none" w:sz="0" w:space="0" w:color="auto"/>
      </w:divBdr>
    </w:div>
    <w:div w:id="941911851">
      <w:bodyDiv w:val="1"/>
      <w:marLeft w:val="0"/>
      <w:marRight w:val="0"/>
      <w:marTop w:val="0"/>
      <w:marBottom w:val="0"/>
      <w:divBdr>
        <w:top w:val="none" w:sz="0" w:space="0" w:color="auto"/>
        <w:left w:val="none" w:sz="0" w:space="0" w:color="auto"/>
        <w:bottom w:val="none" w:sz="0" w:space="0" w:color="auto"/>
        <w:right w:val="none" w:sz="0" w:space="0" w:color="auto"/>
      </w:divBdr>
    </w:div>
    <w:div w:id="977687858">
      <w:bodyDiv w:val="1"/>
      <w:marLeft w:val="0"/>
      <w:marRight w:val="0"/>
      <w:marTop w:val="0"/>
      <w:marBottom w:val="0"/>
      <w:divBdr>
        <w:top w:val="none" w:sz="0" w:space="0" w:color="auto"/>
        <w:left w:val="none" w:sz="0" w:space="0" w:color="auto"/>
        <w:bottom w:val="none" w:sz="0" w:space="0" w:color="auto"/>
        <w:right w:val="none" w:sz="0" w:space="0" w:color="auto"/>
      </w:divBdr>
    </w:div>
    <w:div w:id="1042483982">
      <w:bodyDiv w:val="1"/>
      <w:marLeft w:val="0"/>
      <w:marRight w:val="0"/>
      <w:marTop w:val="0"/>
      <w:marBottom w:val="0"/>
      <w:divBdr>
        <w:top w:val="none" w:sz="0" w:space="0" w:color="auto"/>
        <w:left w:val="none" w:sz="0" w:space="0" w:color="auto"/>
        <w:bottom w:val="none" w:sz="0" w:space="0" w:color="auto"/>
        <w:right w:val="none" w:sz="0" w:space="0" w:color="auto"/>
      </w:divBdr>
    </w:div>
    <w:div w:id="1081872245">
      <w:bodyDiv w:val="1"/>
      <w:marLeft w:val="0"/>
      <w:marRight w:val="0"/>
      <w:marTop w:val="0"/>
      <w:marBottom w:val="0"/>
      <w:divBdr>
        <w:top w:val="none" w:sz="0" w:space="0" w:color="auto"/>
        <w:left w:val="none" w:sz="0" w:space="0" w:color="auto"/>
        <w:bottom w:val="none" w:sz="0" w:space="0" w:color="auto"/>
        <w:right w:val="none" w:sz="0" w:space="0" w:color="auto"/>
      </w:divBdr>
    </w:div>
    <w:div w:id="1163593673">
      <w:bodyDiv w:val="1"/>
      <w:marLeft w:val="0"/>
      <w:marRight w:val="0"/>
      <w:marTop w:val="0"/>
      <w:marBottom w:val="0"/>
      <w:divBdr>
        <w:top w:val="none" w:sz="0" w:space="0" w:color="auto"/>
        <w:left w:val="none" w:sz="0" w:space="0" w:color="auto"/>
        <w:bottom w:val="none" w:sz="0" w:space="0" w:color="auto"/>
        <w:right w:val="none" w:sz="0" w:space="0" w:color="auto"/>
      </w:divBdr>
    </w:div>
    <w:div w:id="1197890877">
      <w:bodyDiv w:val="1"/>
      <w:marLeft w:val="0"/>
      <w:marRight w:val="0"/>
      <w:marTop w:val="0"/>
      <w:marBottom w:val="0"/>
      <w:divBdr>
        <w:top w:val="none" w:sz="0" w:space="0" w:color="auto"/>
        <w:left w:val="none" w:sz="0" w:space="0" w:color="auto"/>
        <w:bottom w:val="none" w:sz="0" w:space="0" w:color="auto"/>
        <w:right w:val="none" w:sz="0" w:space="0" w:color="auto"/>
      </w:divBdr>
    </w:div>
    <w:div w:id="1232501324">
      <w:bodyDiv w:val="1"/>
      <w:marLeft w:val="0"/>
      <w:marRight w:val="0"/>
      <w:marTop w:val="0"/>
      <w:marBottom w:val="0"/>
      <w:divBdr>
        <w:top w:val="none" w:sz="0" w:space="0" w:color="auto"/>
        <w:left w:val="none" w:sz="0" w:space="0" w:color="auto"/>
        <w:bottom w:val="none" w:sz="0" w:space="0" w:color="auto"/>
        <w:right w:val="none" w:sz="0" w:space="0" w:color="auto"/>
      </w:divBdr>
      <w:divsChild>
        <w:div w:id="1330065306">
          <w:marLeft w:val="0"/>
          <w:marRight w:val="0"/>
          <w:marTop w:val="0"/>
          <w:marBottom w:val="0"/>
          <w:divBdr>
            <w:top w:val="none" w:sz="0" w:space="0" w:color="auto"/>
            <w:left w:val="none" w:sz="0" w:space="0" w:color="auto"/>
            <w:bottom w:val="none" w:sz="0" w:space="0" w:color="auto"/>
            <w:right w:val="none" w:sz="0" w:space="0" w:color="auto"/>
          </w:divBdr>
          <w:divsChild>
            <w:div w:id="1904221019">
              <w:marLeft w:val="0"/>
              <w:marRight w:val="0"/>
              <w:marTop w:val="0"/>
              <w:marBottom w:val="0"/>
              <w:divBdr>
                <w:top w:val="none" w:sz="0" w:space="0" w:color="auto"/>
                <w:left w:val="none" w:sz="0" w:space="0" w:color="auto"/>
                <w:bottom w:val="none" w:sz="0" w:space="0" w:color="auto"/>
                <w:right w:val="none" w:sz="0" w:space="0" w:color="auto"/>
              </w:divBdr>
              <w:divsChild>
                <w:div w:id="3256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20087">
          <w:marLeft w:val="0"/>
          <w:marRight w:val="0"/>
          <w:marTop w:val="0"/>
          <w:marBottom w:val="0"/>
          <w:divBdr>
            <w:top w:val="none" w:sz="0" w:space="0" w:color="auto"/>
            <w:left w:val="none" w:sz="0" w:space="0" w:color="auto"/>
            <w:bottom w:val="none" w:sz="0" w:space="0" w:color="auto"/>
            <w:right w:val="none" w:sz="0" w:space="0" w:color="auto"/>
          </w:divBdr>
          <w:divsChild>
            <w:div w:id="1146357927">
              <w:marLeft w:val="0"/>
              <w:marRight w:val="0"/>
              <w:marTop w:val="0"/>
              <w:marBottom w:val="0"/>
              <w:divBdr>
                <w:top w:val="none" w:sz="0" w:space="0" w:color="auto"/>
                <w:left w:val="none" w:sz="0" w:space="0" w:color="auto"/>
                <w:bottom w:val="none" w:sz="0" w:space="0" w:color="auto"/>
                <w:right w:val="none" w:sz="0" w:space="0" w:color="auto"/>
              </w:divBdr>
              <w:divsChild>
                <w:div w:id="2040859500">
                  <w:marLeft w:val="0"/>
                  <w:marRight w:val="-105"/>
                  <w:marTop w:val="0"/>
                  <w:marBottom w:val="0"/>
                  <w:divBdr>
                    <w:top w:val="none" w:sz="0" w:space="0" w:color="auto"/>
                    <w:left w:val="none" w:sz="0" w:space="0" w:color="auto"/>
                    <w:bottom w:val="none" w:sz="0" w:space="0" w:color="auto"/>
                    <w:right w:val="none" w:sz="0" w:space="0" w:color="auto"/>
                  </w:divBdr>
                  <w:divsChild>
                    <w:div w:id="1918859222">
                      <w:marLeft w:val="0"/>
                      <w:marRight w:val="0"/>
                      <w:marTop w:val="0"/>
                      <w:marBottom w:val="0"/>
                      <w:divBdr>
                        <w:top w:val="none" w:sz="0" w:space="0" w:color="auto"/>
                        <w:left w:val="none" w:sz="0" w:space="0" w:color="auto"/>
                        <w:bottom w:val="none" w:sz="0" w:space="0" w:color="auto"/>
                        <w:right w:val="none" w:sz="0" w:space="0" w:color="auto"/>
                      </w:divBdr>
                      <w:divsChild>
                        <w:div w:id="1104110422">
                          <w:marLeft w:val="0"/>
                          <w:marRight w:val="0"/>
                          <w:marTop w:val="0"/>
                          <w:marBottom w:val="0"/>
                          <w:divBdr>
                            <w:top w:val="none" w:sz="0" w:space="0" w:color="auto"/>
                            <w:left w:val="none" w:sz="0" w:space="0" w:color="auto"/>
                            <w:bottom w:val="none" w:sz="0" w:space="0" w:color="auto"/>
                            <w:right w:val="none" w:sz="0" w:space="0" w:color="auto"/>
                          </w:divBdr>
                          <w:divsChild>
                            <w:div w:id="1928224309">
                              <w:marLeft w:val="240"/>
                              <w:marRight w:val="240"/>
                              <w:marTop w:val="0"/>
                              <w:marBottom w:val="60"/>
                              <w:divBdr>
                                <w:top w:val="none" w:sz="0" w:space="0" w:color="auto"/>
                                <w:left w:val="none" w:sz="0" w:space="0" w:color="auto"/>
                                <w:bottom w:val="none" w:sz="0" w:space="0" w:color="auto"/>
                                <w:right w:val="none" w:sz="0" w:space="0" w:color="auto"/>
                              </w:divBdr>
                              <w:divsChild>
                                <w:div w:id="2123720414">
                                  <w:marLeft w:val="150"/>
                                  <w:marRight w:val="0"/>
                                  <w:marTop w:val="0"/>
                                  <w:marBottom w:val="0"/>
                                  <w:divBdr>
                                    <w:top w:val="none" w:sz="0" w:space="0" w:color="auto"/>
                                    <w:left w:val="none" w:sz="0" w:space="0" w:color="auto"/>
                                    <w:bottom w:val="none" w:sz="0" w:space="0" w:color="auto"/>
                                    <w:right w:val="none" w:sz="0" w:space="0" w:color="auto"/>
                                  </w:divBdr>
                                  <w:divsChild>
                                    <w:div w:id="338889494">
                                      <w:marLeft w:val="0"/>
                                      <w:marRight w:val="0"/>
                                      <w:marTop w:val="0"/>
                                      <w:marBottom w:val="0"/>
                                      <w:divBdr>
                                        <w:top w:val="none" w:sz="0" w:space="0" w:color="auto"/>
                                        <w:left w:val="none" w:sz="0" w:space="0" w:color="auto"/>
                                        <w:bottom w:val="none" w:sz="0" w:space="0" w:color="auto"/>
                                        <w:right w:val="none" w:sz="0" w:space="0" w:color="auto"/>
                                      </w:divBdr>
                                      <w:divsChild>
                                        <w:div w:id="1580670792">
                                          <w:marLeft w:val="0"/>
                                          <w:marRight w:val="0"/>
                                          <w:marTop w:val="0"/>
                                          <w:marBottom w:val="0"/>
                                          <w:divBdr>
                                            <w:top w:val="none" w:sz="0" w:space="0" w:color="auto"/>
                                            <w:left w:val="none" w:sz="0" w:space="0" w:color="auto"/>
                                            <w:bottom w:val="none" w:sz="0" w:space="0" w:color="auto"/>
                                            <w:right w:val="none" w:sz="0" w:space="0" w:color="auto"/>
                                          </w:divBdr>
                                          <w:divsChild>
                                            <w:div w:id="351225877">
                                              <w:marLeft w:val="0"/>
                                              <w:marRight w:val="0"/>
                                              <w:marTop w:val="0"/>
                                              <w:marBottom w:val="60"/>
                                              <w:divBdr>
                                                <w:top w:val="none" w:sz="0" w:space="0" w:color="auto"/>
                                                <w:left w:val="none" w:sz="0" w:space="0" w:color="auto"/>
                                                <w:bottom w:val="none" w:sz="0" w:space="0" w:color="auto"/>
                                                <w:right w:val="none" w:sz="0" w:space="0" w:color="auto"/>
                                              </w:divBdr>
                                              <w:divsChild>
                                                <w:div w:id="977952028">
                                                  <w:marLeft w:val="0"/>
                                                  <w:marRight w:val="0"/>
                                                  <w:marTop w:val="0"/>
                                                  <w:marBottom w:val="0"/>
                                                  <w:divBdr>
                                                    <w:top w:val="none" w:sz="0" w:space="0" w:color="auto"/>
                                                    <w:left w:val="none" w:sz="0" w:space="0" w:color="auto"/>
                                                    <w:bottom w:val="none" w:sz="0" w:space="0" w:color="auto"/>
                                                    <w:right w:val="none" w:sz="0" w:space="0" w:color="auto"/>
                                                  </w:divBdr>
                                                  <w:divsChild>
                                                    <w:div w:id="844711475">
                                                      <w:marLeft w:val="0"/>
                                                      <w:marRight w:val="0"/>
                                                      <w:marTop w:val="0"/>
                                                      <w:marBottom w:val="0"/>
                                                      <w:divBdr>
                                                        <w:top w:val="none" w:sz="0" w:space="0" w:color="auto"/>
                                                        <w:left w:val="none" w:sz="0" w:space="0" w:color="auto"/>
                                                        <w:bottom w:val="none" w:sz="0" w:space="0" w:color="auto"/>
                                                        <w:right w:val="none" w:sz="0" w:space="0" w:color="auto"/>
                                                      </w:divBdr>
                                                      <w:divsChild>
                                                        <w:div w:id="1019086649">
                                                          <w:marLeft w:val="0"/>
                                                          <w:marRight w:val="0"/>
                                                          <w:marTop w:val="0"/>
                                                          <w:marBottom w:val="0"/>
                                                          <w:divBdr>
                                                            <w:top w:val="none" w:sz="0" w:space="0" w:color="auto"/>
                                                            <w:left w:val="none" w:sz="0" w:space="0" w:color="auto"/>
                                                            <w:bottom w:val="none" w:sz="0" w:space="0" w:color="auto"/>
                                                            <w:right w:val="none" w:sz="0" w:space="0" w:color="auto"/>
                                                          </w:divBdr>
                                                          <w:divsChild>
                                                            <w:div w:id="1779176678">
                                                              <w:marLeft w:val="0"/>
                                                              <w:marRight w:val="0"/>
                                                              <w:marTop w:val="0"/>
                                                              <w:marBottom w:val="0"/>
                                                              <w:divBdr>
                                                                <w:top w:val="none" w:sz="0" w:space="0" w:color="auto"/>
                                                                <w:left w:val="none" w:sz="0" w:space="0" w:color="auto"/>
                                                                <w:bottom w:val="none" w:sz="0" w:space="0" w:color="auto"/>
                                                                <w:right w:val="none" w:sz="0" w:space="0" w:color="auto"/>
                                                              </w:divBdr>
                                                              <w:divsChild>
                                                                <w:div w:id="71971057">
                                                                  <w:marLeft w:val="105"/>
                                                                  <w:marRight w:val="105"/>
                                                                  <w:marTop w:val="90"/>
                                                                  <w:marBottom w:val="150"/>
                                                                  <w:divBdr>
                                                                    <w:top w:val="none" w:sz="0" w:space="0" w:color="auto"/>
                                                                    <w:left w:val="none" w:sz="0" w:space="0" w:color="auto"/>
                                                                    <w:bottom w:val="none" w:sz="0" w:space="0" w:color="auto"/>
                                                                    <w:right w:val="none" w:sz="0" w:space="0" w:color="auto"/>
                                                                  </w:divBdr>
                                                                </w:div>
                                                                <w:div w:id="357857518">
                                                                  <w:marLeft w:val="105"/>
                                                                  <w:marRight w:val="105"/>
                                                                  <w:marTop w:val="90"/>
                                                                  <w:marBottom w:val="150"/>
                                                                  <w:divBdr>
                                                                    <w:top w:val="none" w:sz="0" w:space="0" w:color="auto"/>
                                                                    <w:left w:val="none" w:sz="0" w:space="0" w:color="auto"/>
                                                                    <w:bottom w:val="none" w:sz="0" w:space="0" w:color="auto"/>
                                                                    <w:right w:val="none" w:sz="0" w:space="0" w:color="auto"/>
                                                                  </w:divBdr>
                                                                </w:div>
                                                                <w:div w:id="445122981">
                                                                  <w:marLeft w:val="105"/>
                                                                  <w:marRight w:val="105"/>
                                                                  <w:marTop w:val="90"/>
                                                                  <w:marBottom w:val="150"/>
                                                                  <w:divBdr>
                                                                    <w:top w:val="none" w:sz="0" w:space="0" w:color="auto"/>
                                                                    <w:left w:val="none" w:sz="0" w:space="0" w:color="auto"/>
                                                                    <w:bottom w:val="none" w:sz="0" w:space="0" w:color="auto"/>
                                                                    <w:right w:val="none" w:sz="0" w:space="0" w:color="auto"/>
                                                                  </w:divBdr>
                                                                </w:div>
                                                                <w:div w:id="1856991142">
                                                                  <w:marLeft w:val="105"/>
                                                                  <w:marRight w:val="105"/>
                                                                  <w:marTop w:val="90"/>
                                                                  <w:marBottom w:val="150"/>
                                                                  <w:divBdr>
                                                                    <w:top w:val="none" w:sz="0" w:space="0" w:color="auto"/>
                                                                    <w:left w:val="none" w:sz="0" w:space="0" w:color="auto"/>
                                                                    <w:bottom w:val="none" w:sz="0" w:space="0" w:color="auto"/>
                                                                    <w:right w:val="none" w:sz="0" w:space="0" w:color="auto"/>
                                                                  </w:divBdr>
                                                                </w:div>
                                                                <w:div w:id="1862014511">
                                                                  <w:marLeft w:val="105"/>
                                                                  <w:marRight w:val="105"/>
                                                                  <w:marTop w:val="90"/>
                                                                  <w:marBottom w:val="150"/>
                                                                  <w:divBdr>
                                                                    <w:top w:val="none" w:sz="0" w:space="0" w:color="auto"/>
                                                                    <w:left w:val="none" w:sz="0" w:space="0" w:color="auto"/>
                                                                    <w:bottom w:val="none" w:sz="0" w:space="0" w:color="auto"/>
                                                                    <w:right w:val="none" w:sz="0" w:space="0" w:color="auto"/>
                                                                  </w:divBdr>
                                                                </w:div>
                                                                <w:div w:id="18702186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038625781">
                                                  <w:marLeft w:val="0"/>
                                                  <w:marRight w:val="0"/>
                                                  <w:marTop w:val="0"/>
                                                  <w:marBottom w:val="0"/>
                                                  <w:divBdr>
                                                    <w:top w:val="none" w:sz="0" w:space="0" w:color="auto"/>
                                                    <w:left w:val="none" w:sz="0" w:space="0" w:color="auto"/>
                                                    <w:bottom w:val="none" w:sz="0" w:space="0" w:color="auto"/>
                                                    <w:right w:val="none" w:sz="0" w:space="0" w:color="auto"/>
                                                  </w:divBdr>
                                                  <w:divsChild>
                                                    <w:div w:id="2011104228">
                                                      <w:marLeft w:val="0"/>
                                                      <w:marRight w:val="0"/>
                                                      <w:marTop w:val="0"/>
                                                      <w:marBottom w:val="0"/>
                                                      <w:divBdr>
                                                        <w:top w:val="none" w:sz="0" w:space="0" w:color="auto"/>
                                                        <w:left w:val="none" w:sz="0" w:space="0" w:color="auto"/>
                                                        <w:bottom w:val="none" w:sz="0" w:space="0" w:color="auto"/>
                                                        <w:right w:val="none" w:sz="0" w:space="0" w:color="auto"/>
                                                      </w:divBdr>
                                                    </w:div>
                                                  </w:divsChild>
                                                </w:div>
                                                <w:div w:id="20105229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785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927451">
      <w:bodyDiv w:val="1"/>
      <w:marLeft w:val="0"/>
      <w:marRight w:val="0"/>
      <w:marTop w:val="0"/>
      <w:marBottom w:val="0"/>
      <w:divBdr>
        <w:top w:val="none" w:sz="0" w:space="0" w:color="auto"/>
        <w:left w:val="none" w:sz="0" w:space="0" w:color="auto"/>
        <w:bottom w:val="none" w:sz="0" w:space="0" w:color="auto"/>
        <w:right w:val="none" w:sz="0" w:space="0" w:color="auto"/>
      </w:divBdr>
    </w:div>
    <w:div w:id="1349333147">
      <w:bodyDiv w:val="1"/>
      <w:marLeft w:val="0"/>
      <w:marRight w:val="0"/>
      <w:marTop w:val="0"/>
      <w:marBottom w:val="0"/>
      <w:divBdr>
        <w:top w:val="none" w:sz="0" w:space="0" w:color="auto"/>
        <w:left w:val="none" w:sz="0" w:space="0" w:color="auto"/>
        <w:bottom w:val="none" w:sz="0" w:space="0" w:color="auto"/>
        <w:right w:val="none" w:sz="0" w:space="0" w:color="auto"/>
      </w:divBdr>
    </w:div>
    <w:div w:id="1370765792">
      <w:bodyDiv w:val="1"/>
      <w:marLeft w:val="0"/>
      <w:marRight w:val="0"/>
      <w:marTop w:val="0"/>
      <w:marBottom w:val="0"/>
      <w:divBdr>
        <w:top w:val="none" w:sz="0" w:space="0" w:color="auto"/>
        <w:left w:val="none" w:sz="0" w:space="0" w:color="auto"/>
        <w:bottom w:val="none" w:sz="0" w:space="0" w:color="auto"/>
        <w:right w:val="none" w:sz="0" w:space="0" w:color="auto"/>
      </w:divBdr>
    </w:div>
    <w:div w:id="1432822941">
      <w:bodyDiv w:val="1"/>
      <w:marLeft w:val="0"/>
      <w:marRight w:val="0"/>
      <w:marTop w:val="0"/>
      <w:marBottom w:val="0"/>
      <w:divBdr>
        <w:top w:val="none" w:sz="0" w:space="0" w:color="auto"/>
        <w:left w:val="none" w:sz="0" w:space="0" w:color="auto"/>
        <w:bottom w:val="none" w:sz="0" w:space="0" w:color="auto"/>
        <w:right w:val="none" w:sz="0" w:space="0" w:color="auto"/>
      </w:divBdr>
    </w:div>
    <w:div w:id="1555659419">
      <w:bodyDiv w:val="1"/>
      <w:marLeft w:val="0"/>
      <w:marRight w:val="0"/>
      <w:marTop w:val="0"/>
      <w:marBottom w:val="0"/>
      <w:divBdr>
        <w:top w:val="none" w:sz="0" w:space="0" w:color="auto"/>
        <w:left w:val="none" w:sz="0" w:space="0" w:color="auto"/>
        <w:bottom w:val="none" w:sz="0" w:space="0" w:color="auto"/>
        <w:right w:val="none" w:sz="0" w:space="0" w:color="auto"/>
      </w:divBdr>
    </w:div>
    <w:div w:id="1577012813">
      <w:bodyDiv w:val="1"/>
      <w:marLeft w:val="0"/>
      <w:marRight w:val="0"/>
      <w:marTop w:val="0"/>
      <w:marBottom w:val="0"/>
      <w:divBdr>
        <w:top w:val="none" w:sz="0" w:space="0" w:color="auto"/>
        <w:left w:val="none" w:sz="0" w:space="0" w:color="auto"/>
        <w:bottom w:val="none" w:sz="0" w:space="0" w:color="auto"/>
        <w:right w:val="none" w:sz="0" w:space="0" w:color="auto"/>
      </w:divBdr>
    </w:div>
    <w:div w:id="1637641706">
      <w:bodyDiv w:val="1"/>
      <w:marLeft w:val="0"/>
      <w:marRight w:val="0"/>
      <w:marTop w:val="0"/>
      <w:marBottom w:val="0"/>
      <w:divBdr>
        <w:top w:val="none" w:sz="0" w:space="0" w:color="auto"/>
        <w:left w:val="none" w:sz="0" w:space="0" w:color="auto"/>
        <w:bottom w:val="none" w:sz="0" w:space="0" w:color="auto"/>
        <w:right w:val="none" w:sz="0" w:space="0" w:color="auto"/>
      </w:divBdr>
      <w:divsChild>
        <w:div w:id="234779152">
          <w:marLeft w:val="0"/>
          <w:marRight w:val="0"/>
          <w:marTop w:val="0"/>
          <w:marBottom w:val="0"/>
          <w:divBdr>
            <w:top w:val="none" w:sz="0" w:space="0" w:color="auto"/>
            <w:left w:val="none" w:sz="0" w:space="0" w:color="auto"/>
            <w:bottom w:val="none" w:sz="0" w:space="0" w:color="auto"/>
            <w:right w:val="none" w:sz="0" w:space="0" w:color="auto"/>
          </w:divBdr>
          <w:divsChild>
            <w:div w:id="2002929516">
              <w:marLeft w:val="0"/>
              <w:marRight w:val="0"/>
              <w:marTop w:val="0"/>
              <w:marBottom w:val="0"/>
              <w:divBdr>
                <w:top w:val="none" w:sz="0" w:space="0" w:color="auto"/>
                <w:left w:val="none" w:sz="0" w:space="0" w:color="auto"/>
                <w:bottom w:val="none" w:sz="0" w:space="0" w:color="auto"/>
                <w:right w:val="none" w:sz="0" w:space="0" w:color="auto"/>
              </w:divBdr>
              <w:divsChild>
                <w:div w:id="1933734629">
                  <w:marLeft w:val="0"/>
                  <w:marRight w:val="-105"/>
                  <w:marTop w:val="0"/>
                  <w:marBottom w:val="0"/>
                  <w:divBdr>
                    <w:top w:val="none" w:sz="0" w:space="0" w:color="auto"/>
                    <w:left w:val="none" w:sz="0" w:space="0" w:color="auto"/>
                    <w:bottom w:val="none" w:sz="0" w:space="0" w:color="auto"/>
                    <w:right w:val="none" w:sz="0" w:space="0" w:color="auto"/>
                  </w:divBdr>
                  <w:divsChild>
                    <w:div w:id="2122067811">
                      <w:marLeft w:val="0"/>
                      <w:marRight w:val="0"/>
                      <w:marTop w:val="0"/>
                      <w:marBottom w:val="0"/>
                      <w:divBdr>
                        <w:top w:val="none" w:sz="0" w:space="0" w:color="auto"/>
                        <w:left w:val="none" w:sz="0" w:space="0" w:color="auto"/>
                        <w:bottom w:val="none" w:sz="0" w:space="0" w:color="auto"/>
                        <w:right w:val="none" w:sz="0" w:space="0" w:color="auto"/>
                      </w:divBdr>
                      <w:divsChild>
                        <w:div w:id="764418430">
                          <w:marLeft w:val="0"/>
                          <w:marRight w:val="0"/>
                          <w:marTop w:val="0"/>
                          <w:marBottom w:val="0"/>
                          <w:divBdr>
                            <w:top w:val="none" w:sz="0" w:space="0" w:color="auto"/>
                            <w:left w:val="none" w:sz="0" w:space="0" w:color="auto"/>
                            <w:bottom w:val="none" w:sz="0" w:space="0" w:color="auto"/>
                            <w:right w:val="none" w:sz="0" w:space="0" w:color="auto"/>
                          </w:divBdr>
                          <w:divsChild>
                            <w:div w:id="1116605639">
                              <w:marLeft w:val="240"/>
                              <w:marRight w:val="240"/>
                              <w:marTop w:val="0"/>
                              <w:marBottom w:val="60"/>
                              <w:divBdr>
                                <w:top w:val="none" w:sz="0" w:space="0" w:color="auto"/>
                                <w:left w:val="none" w:sz="0" w:space="0" w:color="auto"/>
                                <w:bottom w:val="none" w:sz="0" w:space="0" w:color="auto"/>
                                <w:right w:val="none" w:sz="0" w:space="0" w:color="auto"/>
                              </w:divBdr>
                              <w:divsChild>
                                <w:div w:id="492643352">
                                  <w:marLeft w:val="150"/>
                                  <w:marRight w:val="0"/>
                                  <w:marTop w:val="0"/>
                                  <w:marBottom w:val="0"/>
                                  <w:divBdr>
                                    <w:top w:val="none" w:sz="0" w:space="0" w:color="auto"/>
                                    <w:left w:val="none" w:sz="0" w:space="0" w:color="auto"/>
                                    <w:bottom w:val="none" w:sz="0" w:space="0" w:color="auto"/>
                                    <w:right w:val="none" w:sz="0" w:space="0" w:color="auto"/>
                                  </w:divBdr>
                                  <w:divsChild>
                                    <w:div w:id="31736674">
                                      <w:marLeft w:val="0"/>
                                      <w:marRight w:val="0"/>
                                      <w:marTop w:val="0"/>
                                      <w:marBottom w:val="0"/>
                                      <w:divBdr>
                                        <w:top w:val="none" w:sz="0" w:space="0" w:color="auto"/>
                                        <w:left w:val="none" w:sz="0" w:space="0" w:color="auto"/>
                                        <w:bottom w:val="none" w:sz="0" w:space="0" w:color="auto"/>
                                        <w:right w:val="none" w:sz="0" w:space="0" w:color="auto"/>
                                      </w:divBdr>
                                    </w:div>
                                    <w:div w:id="1819414476">
                                      <w:marLeft w:val="0"/>
                                      <w:marRight w:val="0"/>
                                      <w:marTop w:val="0"/>
                                      <w:marBottom w:val="0"/>
                                      <w:divBdr>
                                        <w:top w:val="none" w:sz="0" w:space="0" w:color="auto"/>
                                        <w:left w:val="none" w:sz="0" w:space="0" w:color="auto"/>
                                        <w:bottom w:val="none" w:sz="0" w:space="0" w:color="auto"/>
                                        <w:right w:val="none" w:sz="0" w:space="0" w:color="auto"/>
                                      </w:divBdr>
                                      <w:divsChild>
                                        <w:div w:id="924609286">
                                          <w:marLeft w:val="0"/>
                                          <w:marRight w:val="0"/>
                                          <w:marTop w:val="0"/>
                                          <w:marBottom w:val="0"/>
                                          <w:divBdr>
                                            <w:top w:val="none" w:sz="0" w:space="0" w:color="auto"/>
                                            <w:left w:val="none" w:sz="0" w:space="0" w:color="auto"/>
                                            <w:bottom w:val="none" w:sz="0" w:space="0" w:color="auto"/>
                                            <w:right w:val="none" w:sz="0" w:space="0" w:color="auto"/>
                                          </w:divBdr>
                                          <w:divsChild>
                                            <w:div w:id="430206558">
                                              <w:marLeft w:val="0"/>
                                              <w:marRight w:val="0"/>
                                              <w:marTop w:val="0"/>
                                              <w:marBottom w:val="60"/>
                                              <w:divBdr>
                                                <w:top w:val="none" w:sz="0" w:space="0" w:color="auto"/>
                                                <w:left w:val="none" w:sz="0" w:space="0" w:color="auto"/>
                                                <w:bottom w:val="none" w:sz="0" w:space="0" w:color="auto"/>
                                                <w:right w:val="none" w:sz="0" w:space="0" w:color="auto"/>
                                              </w:divBdr>
                                              <w:divsChild>
                                                <w:div w:id="563490705">
                                                  <w:marLeft w:val="0"/>
                                                  <w:marRight w:val="0"/>
                                                  <w:marTop w:val="0"/>
                                                  <w:marBottom w:val="0"/>
                                                  <w:divBdr>
                                                    <w:top w:val="none" w:sz="0" w:space="0" w:color="auto"/>
                                                    <w:left w:val="none" w:sz="0" w:space="0" w:color="auto"/>
                                                    <w:bottom w:val="none" w:sz="0" w:space="0" w:color="auto"/>
                                                    <w:right w:val="none" w:sz="0" w:space="0" w:color="auto"/>
                                                  </w:divBdr>
                                                  <w:divsChild>
                                                    <w:div w:id="1629622681">
                                                      <w:marLeft w:val="0"/>
                                                      <w:marRight w:val="0"/>
                                                      <w:marTop w:val="0"/>
                                                      <w:marBottom w:val="0"/>
                                                      <w:divBdr>
                                                        <w:top w:val="none" w:sz="0" w:space="0" w:color="auto"/>
                                                        <w:left w:val="none" w:sz="0" w:space="0" w:color="auto"/>
                                                        <w:bottom w:val="none" w:sz="0" w:space="0" w:color="auto"/>
                                                        <w:right w:val="none" w:sz="0" w:space="0" w:color="auto"/>
                                                      </w:divBdr>
                                                    </w:div>
                                                  </w:divsChild>
                                                </w:div>
                                                <w:div w:id="1428842452">
                                                  <w:marLeft w:val="0"/>
                                                  <w:marRight w:val="0"/>
                                                  <w:marTop w:val="150"/>
                                                  <w:marBottom w:val="0"/>
                                                  <w:divBdr>
                                                    <w:top w:val="none" w:sz="0" w:space="0" w:color="auto"/>
                                                    <w:left w:val="none" w:sz="0" w:space="0" w:color="auto"/>
                                                    <w:bottom w:val="none" w:sz="0" w:space="0" w:color="auto"/>
                                                    <w:right w:val="none" w:sz="0" w:space="0" w:color="auto"/>
                                                  </w:divBdr>
                                                </w:div>
                                                <w:div w:id="1833060271">
                                                  <w:marLeft w:val="0"/>
                                                  <w:marRight w:val="0"/>
                                                  <w:marTop w:val="0"/>
                                                  <w:marBottom w:val="0"/>
                                                  <w:divBdr>
                                                    <w:top w:val="none" w:sz="0" w:space="0" w:color="auto"/>
                                                    <w:left w:val="none" w:sz="0" w:space="0" w:color="auto"/>
                                                    <w:bottom w:val="none" w:sz="0" w:space="0" w:color="auto"/>
                                                    <w:right w:val="none" w:sz="0" w:space="0" w:color="auto"/>
                                                  </w:divBdr>
                                                  <w:divsChild>
                                                    <w:div w:id="675767389">
                                                      <w:marLeft w:val="0"/>
                                                      <w:marRight w:val="0"/>
                                                      <w:marTop w:val="0"/>
                                                      <w:marBottom w:val="0"/>
                                                      <w:divBdr>
                                                        <w:top w:val="none" w:sz="0" w:space="0" w:color="auto"/>
                                                        <w:left w:val="none" w:sz="0" w:space="0" w:color="auto"/>
                                                        <w:bottom w:val="none" w:sz="0" w:space="0" w:color="auto"/>
                                                        <w:right w:val="none" w:sz="0" w:space="0" w:color="auto"/>
                                                      </w:divBdr>
                                                      <w:divsChild>
                                                        <w:div w:id="1975065393">
                                                          <w:marLeft w:val="0"/>
                                                          <w:marRight w:val="0"/>
                                                          <w:marTop w:val="0"/>
                                                          <w:marBottom w:val="0"/>
                                                          <w:divBdr>
                                                            <w:top w:val="none" w:sz="0" w:space="0" w:color="auto"/>
                                                            <w:left w:val="none" w:sz="0" w:space="0" w:color="auto"/>
                                                            <w:bottom w:val="none" w:sz="0" w:space="0" w:color="auto"/>
                                                            <w:right w:val="none" w:sz="0" w:space="0" w:color="auto"/>
                                                          </w:divBdr>
                                                          <w:divsChild>
                                                            <w:div w:id="1303608962">
                                                              <w:marLeft w:val="0"/>
                                                              <w:marRight w:val="0"/>
                                                              <w:marTop w:val="0"/>
                                                              <w:marBottom w:val="0"/>
                                                              <w:divBdr>
                                                                <w:top w:val="none" w:sz="0" w:space="0" w:color="auto"/>
                                                                <w:left w:val="none" w:sz="0" w:space="0" w:color="auto"/>
                                                                <w:bottom w:val="none" w:sz="0" w:space="0" w:color="auto"/>
                                                                <w:right w:val="none" w:sz="0" w:space="0" w:color="auto"/>
                                                              </w:divBdr>
                                                              <w:divsChild>
                                                                <w:div w:id="180751719">
                                                                  <w:marLeft w:val="105"/>
                                                                  <w:marRight w:val="105"/>
                                                                  <w:marTop w:val="90"/>
                                                                  <w:marBottom w:val="150"/>
                                                                  <w:divBdr>
                                                                    <w:top w:val="none" w:sz="0" w:space="0" w:color="auto"/>
                                                                    <w:left w:val="none" w:sz="0" w:space="0" w:color="auto"/>
                                                                    <w:bottom w:val="none" w:sz="0" w:space="0" w:color="auto"/>
                                                                    <w:right w:val="none" w:sz="0" w:space="0" w:color="auto"/>
                                                                  </w:divBdr>
                                                                </w:div>
                                                                <w:div w:id="261112193">
                                                                  <w:marLeft w:val="105"/>
                                                                  <w:marRight w:val="105"/>
                                                                  <w:marTop w:val="90"/>
                                                                  <w:marBottom w:val="150"/>
                                                                  <w:divBdr>
                                                                    <w:top w:val="none" w:sz="0" w:space="0" w:color="auto"/>
                                                                    <w:left w:val="none" w:sz="0" w:space="0" w:color="auto"/>
                                                                    <w:bottom w:val="none" w:sz="0" w:space="0" w:color="auto"/>
                                                                    <w:right w:val="none" w:sz="0" w:space="0" w:color="auto"/>
                                                                  </w:divBdr>
                                                                </w:div>
                                                                <w:div w:id="867766105">
                                                                  <w:marLeft w:val="105"/>
                                                                  <w:marRight w:val="105"/>
                                                                  <w:marTop w:val="90"/>
                                                                  <w:marBottom w:val="150"/>
                                                                  <w:divBdr>
                                                                    <w:top w:val="none" w:sz="0" w:space="0" w:color="auto"/>
                                                                    <w:left w:val="none" w:sz="0" w:space="0" w:color="auto"/>
                                                                    <w:bottom w:val="none" w:sz="0" w:space="0" w:color="auto"/>
                                                                    <w:right w:val="none" w:sz="0" w:space="0" w:color="auto"/>
                                                                  </w:divBdr>
                                                                </w:div>
                                                                <w:div w:id="1015813740">
                                                                  <w:marLeft w:val="105"/>
                                                                  <w:marRight w:val="105"/>
                                                                  <w:marTop w:val="90"/>
                                                                  <w:marBottom w:val="150"/>
                                                                  <w:divBdr>
                                                                    <w:top w:val="none" w:sz="0" w:space="0" w:color="auto"/>
                                                                    <w:left w:val="none" w:sz="0" w:space="0" w:color="auto"/>
                                                                    <w:bottom w:val="none" w:sz="0" w:space="0" w:color="auto"/>
                                                                    <w:right w:val="none" w:sz="0" w:space="0" w:color="auto"/>
                                                                  </w:divBdr>
                                                                </w:div>
                                                                <w:div w:id="1297563199">
                                                                  <w:marLeft w:val="105"/>
                                                                  <w:marRight w:val="105"/>
                                                                  <w:marTop w:val="90"/>
                                                                  <w:marBottom w:val="150"/>
                                                                  <w:divBdr>
                                                                    <w:top w:val="none" w:sz="0" w:space="0" w:color="auto"/>
                                                                    <w:left w:val="none" w:sz="0" w:space="0" w:color="auto"/>
                                                                    <w:bottom w:val="none" w:sz="0" w:space="0" w:color="auto"/>
                                                                    <w:right w:val="none" w:sz="0" w:space="0" w:color="auto"/>
                                                                  </w:divBdr>
                                                                </w:div>
                                                                <w:div w:id="212168136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3120703">
          <w:marLeft w:val="0"/>
          <w:marRight w:val="0"/>
          <w:marTop w:val="0"/>
          <w:marBottom w:val="0"/>
          <w:divBdr>
            <w:top w:val="none" w:sz="0" w:space="0" w:color="auto"/>
            <w:left w:val="none" w:sz="0" w:space="0" w:color="auto"/>
            <w:bottom w:val="none" w:sz="0" w:space="0" w:color="auto"/>
            <w:right w:val="none" w:sz="0" w:space="0" w:color="auto"/>
          </w:divBdr>
          <w:divsChild>
            <w:div w:id="1600289440">
              <w:marLeft w:val="0"/>
              <w:marRight w:val="0"/>
              <w:marTop w:val="0"/>
              <w:marBottom w:val="0"/>
              <w:divBdr>
                <w:top w:val="none" w:sz="0" w:space="0" w:color="auto"/>
                <w:left w:val="none" w:sz="0" w:space="0" w:color="auto"/>
                <w:bottom w:val="none" w:sz="0" w:space="0" w:color="auto"/>
                <w:right w:val="none" w:sz="0" w:space="0" w:color="auto"/>
              </w:divBdr>
              <w:divsChild>
                <w:div w:id="106190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95219">
      <w:bodyDiv w:val="1"/>
      <w:marLeft w:val="0"/>
      <w:marRight w:val="0"/>
      <w:marTop w:val="0"/>
      <w:marBottom w:val="0"/>
      <w:divBdr>
        <w:top w:val="none" w:sz="0" w:space="0" w:color="auto"/>
        <w:left w:val="none" w:sz="0" w:space="0" w:color="auto"/>
        <w:bottom w:val="none" w:sz="0" w:space="0" w:color="auto"/>
        <w:right w:val="none" w:sz="0" w:space="0" w:color="auto"/>
      </w:divBdr>
    </w:div>
    <w:div w:id="1718623733">
      <w:bodyDiv w:val="1"/>
      <w:marLeft w:val="0"/>
      <w:marRight w:val="0"/>
      <w:marTop w:val="0"/>
      <w:marBottom w:val="0"/>
      <w:divBdr>
        <w:top w:val="none" w:sz="0" w:space="0" w:color="auto"/>
        <w:left w:val="none" w:sz="0" w:space="0" w:color="auto"/>
        <w:bottom w:val="none" w:sz="0" w:space="0" w:color="auto"/>
        <w:right w:val="none" w:sz="0" w:space="0" w:color="auto"/>
      </w:divBdr>
    </w:div>
    <w:div w:id="1776054924">
      <w:bodyDiv w:val="1"/>
      <w:marLeft w:val="0"/>
      <w:marRight w:val="0"/>
      <w:marTop w:val="0"/>
      <w:marBottom w:val="0"/>
      <w:divBdr>
        <w:top w:val="none" w:sz="0" w:space="0" w:color="auto"/>
        <w:left w:val="none" w:sz="0" w:space="0" w:color="auto"/>
        <w:bottom w:val="none" w:sz="0" w:space="0" w:color="auto"/>
        <w:right w:val="none" w:sz="0" w:space="0" w:color="auto"/>
      </w:divBdr>
    </w:div>
    <w:div w:id="1789935616">
      <w:bodyDiv w:val="1"/>
      <w:marLeft w:val="0"/>
      <w:marRight w:val="0"/>
      <w:marTop w:val="0"/>
      <w:marBottom w:val="0"/>
      <w:divBdr>
        <w:top w:val="none" w:sz="0" w:space="0" w:color="auto"/>
        <w:left w:val="none" w:sz="0" w:space="0" w:color="auto"/>
        <w:bottom w:val="none" w:sz="0" w:space="0" w:color="auto"/>
        <w:right w:val="none" w:sz="0" w:space="0" w:color="auto"/>
      </w:divBdr>
    </w:div>
    <w:div w:id="1803958412">
      <w:bodyDiv w:val="1"/>
      <w:marLeft w:val="0"/>
      <w:marRight w:val="0"/>
      <w:marTop w:val="0"/>
      <w:marBottom w:val="0"/>
      <w:divBdr>
        <w:top w:val="none" w:sz="0" w:space="0" w:color="auto"/>
        <w:left w:val="none" w:sz="0" w:space="0" w:color="auto"/>
        <w:bottom w:val="none" w:sz="0" w:space="0" w:color="auto"/>
        <w:right w:val="none" w:sz="0" w:space="0" w:color="auto"/>
      </w:divBdr>
    </w:div>
    <w:div w:id="1825580067">
      <w:bodyDiv w:val="1"/>
      <w:marLeft w:val="0"/>
      <w:marRight w:val="0"/>
      <w:marTop w:val="0"/>
      <w:marBottom w:val="0"/>
      <w:divBdr>
        <w:top w:val="none" w:sz="0" w:space="0" w:color="auto"/>
        <w:left w:val="none" w:sz="0" w:space="0" w:color="auto"/>
        <w:bottom w:val="none" w:sz="0" w:space="0" w:color="auto"/>
        <w:right w:val="none" w:sz="0" w:space="0" w:color="auto"/>
      </w:divBdr>
    </w:div>
    <w:div w:id="1906715531">
      <w:bodyDiv w:val="1"/>
      <w:marLeft w:val="0"/>
      <w:marRight w:val="0"/>
      <w:marTop w:val="0"/>
      <w:marBottom w:val="0"/>
      <w:divBdr>
        <w:top w:val="none" w:sz="0" w:space="0" w:color="auto"/>
        <w:left w:val="none" w:sz="0" w:space="0" w:color="auto"/>
        <w:bottom w:val="none" w:sz="0" w:space="0" w:color="auto"/>
        <w:right w:val="none" w:sz="0" w:space="0" w:color="auto"/>
      </w:divBdr>
    </w:div>
    <w:div w:id="2078434418">
      <w:bodyDiv w:val="1"/>
      <w:marLeft w:val="0"/>
      <w:marRight w:val="0"/>
      <w:marTop w:val="0"/>
      <w:marBottom w:val="0"/>
      <w:divBdr>
        <w:top w:val="none" w:sz="0" w:space="0" w:color="auto"/>
        <w:left w:val="none" w:sz="0" w:space="0" w:color="auto"/>
        <w:bottom w:val="none" w:sz="0" w:space="0" w:color="auto"/>
        <w:right w:val="none" w:sz="0" w:space="0" w:color="auto"/>
      </w:divBdr>
    </w:div>
    <w:div w:id="2128892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4E59C-E23A-40F1-89EB-0AC3A17132CD}">
  <ds:schemaRefs>
    <ds:schemaRef ds:uri="http://schemas.openxmlformats.org/officeDocument/2006/bibliography"/>
  </ds:schemaRefs>
</ds:datastoreItem>
</file>

<file path=customXml/itemProps2.xml><?xml version="1.0" encoding="utf-8"?>
<ds:datastoreItem xmlns:ds="http://schemas.openxmlformats.org/officeDocument/2006/customXml" ds:itemID="{801C7FA2-D43F-4E2C-8DCC-6E700B5D1D22}">
  <ds:schemaRefs>
    <ds:schemaRef ds:uri="http://schemas.microsoft.com/sharepoint/v3/contenttype/forms"/>
  </ds:schemaRefs>
</ds:datastoreItem>
</file>

<file path=customXml/itemProps3.xml><?xml version="1.0" encoding="utf-8"?>
<ds:datastoreItem xmlns:ds="http://schemas.openxmlformats.org/officeDocument/2006/customXml" ds:itemID="{03C612A6-291A-4A6B-8483-FE2F16E42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3AC0396-141C-4C82-93F9-BE05152CA66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C09066B-8ABC-467E-A3C6-56AEC5091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2858</Words>
  <Characters>16296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Nguyen Thuy Ha</cp:lastModifiedBy>
  <cp:revision>3</cp:revision>
  <cp:lastPrinted>2024-10-10T00:13:00Z</cp:lastPrinted>
  <dcterms:created xsi:type="dcterms:W3CDTF">2024-10-10T02:23:00Z</dcterms:created>
  <dcterms:modified xsi:type="dcterms:W3CDTF">2024-10-10T02:19:00Z</dcterms:modified>
</cp:coreProperties>
</file>